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Independent laser station operation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15</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64</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69"/>
        <w:gridCol w:w="1561"/>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69"/>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69"/>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1"/>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69"/>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69"/>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1"/>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69"/>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69"/>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and the dispatch reference, and the card is affixed. The machine reads the card and its carrier together and confirms they match, so that each card reaches the correct recipient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69"/>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69"/>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62"/>
        <w:gridCol w:w="6958"/>
      </w:tblGrid>
      <w:tr>
        <w:trPr>
          <w:tblHeader/>
        </w:trPr>
        <w:tc>
          <w:tcPr>
            <w:tcW w:type="dxa" w:w="2062"/>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58"/>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58"/>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58"/>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58"/>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58"/>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58"/>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Cooling system</w:t>
            </w:r>
          </w:p>
        </w:tc>
        <w:tc>
          <w:tcPr>
            <w:tcW w:type="dxa" w:w="6958"/>
            <w:tcMar>
              <w:top w:type="dxa" w:w="60"/>
              <w:left w:type="dxa" w:w="100"/>
              <w:bottom w:type="dxa" w:w="60"/>
              <w:right w:type="dxa" w:w="100"/>
            </w:tcMar>
          </w:tcPr>
          <w:p>
            <w:pPr>
              <w:spacing w:after="0" w:before="0"/>
            </w:pPr>
            <w:r>
              <w:rPr>
                <w:b w:val="false"/>
                <w:bCs w:val="false"/>
                <w:i w:val="false"/>
                <w:iCs w:val="false"/>
              </w:rPr>
              <w:t xml:space="preserve">Maintains laser operating temperature under continuous industrial duty</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58"/>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58"/>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58"/>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machines are configured for laser personalization without inkjet printing and need no compressed air supply.</w:t>
      </w: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I</w:t>
      </w:r>
      <w:bookmarkStart w:name="sec_3_4" w:id="1"/>
      <w:r>
        <w:rPr>
          <w:b w:val="false"/>
          <w:bCs w:val="false"/>
          <w:i w:val="false"/>
          <w:iCs w:val="false"/>
        </w:rPr>
        <w:t xml:space="preserve">ndependent laser station operation</w:t>
      </w:r>
      <w:bookmarkEnd w:id="1"/>
    </w:p>
    <w:p>
      <w:pPr>
        <w:spacing w:after="140" w:line="276"/>
      </w:pPr>
      <w:r>
        <w:rPr>
          <w:b w:val="false"/>
          <w:bCs w:val="false"/>
          <w:i w:val="false"/>
          <w:iCs w:val="false"/>
        </w:rPr>
        <w:t xml:space="preserve">Each integrated laser station personalizes a complete card on its own. A station receives the full card layout and the full data record for the card it is processing, and completes all marking for that card without depending on any other station.</w:t>
      </w:r>
    </w:p>
    <w:p>
      <w:pPr>
        <w:spacing w:after="140" w:line="276"/>
      </w:pPr>
      <w:r>
        <w:rPr>
          <w:b w:val="false"/>
          <w:bCs w:val="false"/>
          <w:i w:val="false"/>
          <w:iCs w:val="false"/>
        </w:rPr>
        <w:t xml:space="preserve">This has three consequences for production:</w:t>
      </w:r>
    </w:p>
    <w:p>
      <w:pPr>
        <w:spacing w:after="140" w:line="276"/>
      </w:pPr>
      <w:r>
        <w:rPr>
          <w:b/>
          <w:bCs/>
          <w:i w:val="false"/>
          <w:iCs w:val="false"/>
        </w:rPr>
        <w:t xml:space="preserve">Any station can be taken out of service without stopping the line.</w:t>
      </w:r>
      <w:r>
        <w:rPr>
          <w:b w:val="false"/>
          <w:bCs w:val="false"/>
          <w:i w:val="false"/>
          <w:iCs w:val="false"/>
        </w:rPr>
        <w:t xml:space="preserve"> A station may be switched on, switched off, or removed for maintenance while the line continues to run. The production workflow routes cards only to stations that are available.</w:t>
      </w:r>
    </w:p>
    <w:p>
      <w:pPr>
        <w:spacing w:after="140" w:line="276"/>
      </w:pPr>
      <w:r>
        <w:rPr>
          <w:b/>
          <w:bCs/>
          <w:i w:val="false"/>
          <w:iCs w:val="false"/>
        </w:rPr>
        <w:t xml:space="preserve">Production continues without interruption or loss of quality.</w:t>
      </w:r>
      <w:r>
        <w:rPr>
          <w:b w:val="false"/>
          <w:bCs w:val="false"/>
          <w:i w:val="false"/>
          <w:iCs w:val="false"/>
        </w:rPr>
        <w:t xml:space="preserve"> While a station is out of service, cards continue to be fed, marked, verified and stacked, and no job is stopped or rerun.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 There is no single station whose loss halts the line.</w:t>
      </w:r>
    </w:p>
    <w:p>
      <w:pPr>
        <w:spacing w:after="140" w:line="276"/>
      </w:pPr>
      <w:r>
        <w:rPr>
          <w:b/>
          <w:bCs/>
          <w:i w:val="false"/>
          <w:iCs w:val="false"/>
        </w:rPr>
        <w:t xml:space="preserve">Maintenance can be scheduled without a production window.</w:t>
      </w:r>
      <w:r>
        <w:rPr>
          <w:b w:val="false"/>
          <w:bCs w:val="false"/>
          <w:i w:val="false"/>
          <w:iCs w:val="false"/>
        </w:rPr>
        <w:t xml:space="preserve"> Because stations are independent, routine maintenance on one station proceeds while the remainder of the line is producing cards.</w:t>
      </w:r>
    </w:p>
    <w:p>
      <w:pPr>
        <w:spacing w:after="140" w:line="276"/>
      </w:pPr>
      <w:r>
        <w:rPr>
          <w:b w:val="false"/>
          <w:bCs w:val="false"/>
          <w:i w:val="false"/>
          <w:iCs w:val="false"/>
        </w:rPr>
        <w:t xml:space="preserve">The same principle applies at the level of the two machines. Each line operates independently of the other, so the loss of a complete line does not stop production, which continues on the other line.</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Each laser station marks a complete card on both faces; a station out of service is bypassed and production continues without interruption.</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are specified to: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from an independent international laboratory holding ISO/IEC 17025 accreditation with a scope covering these standards, are provided before the first card delivery,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6931"/>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31"/>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931"/>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and the dispatch reference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Attaches one to four cards to the carrier</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Verification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card and its carrier together after affixing and confirms that they match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6931"/>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6931"/>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6931"/>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and read again with its carrier after affixing, before the mail piece is folded and inserted.</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the match verified,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pPr>
        <w:spacing w:after="140" w:line="276"/>
      </w:pPr>
      <w:r>
        <w:rPr>
          <w:b w:val="false"/>
          <w:bCs w:val="false"/>
          <w:i w:val="false"/>
          <w:iCs w:val="false"/>
        </w:rPr>
        <w:t xml:space="preserve">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routes cards to the available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so a station taken out of service mid-batch does not stop production.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7"/>
        <w:gridCol w:w="6943"/>
      </w:tblGrid>
      <w:tr>
        <w:trPr>
          <w:tblHeader/>
        </w:trPr>
        <w:tc>
          <w:tcPr>
            <w:tcW w:type="dxa" w:w="2077"/>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6943"/>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value read from the card with its carrier after affixing, which is what proves the pairing</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6943"/>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6943"/>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a protected drive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256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Application cluster with automated failover over the storage array, carrying the integration, application, load balancer,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a protected drive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Load balancer</w:t>
            </w:r>
          </w:p>
        </w:tc>
        <w:tc>
          <w:tcPr>
            <w:tcW w:type="dxa" w:w="4890"/>
            <w:tcMar>
              <w:top w:type="dxa" w:w="60"/>
              <w:left w:type="dxa" w:w="100"/>
              <w:bottom w:type="dxa" w:w="60"/>
              <w:right w:type="dxa" w:w="100"/>
            </w:tcMar>
          </w:tcPr>
          <w:p>
            <w:pPr>
              <w:spacing w:after="0" w:before="0"/>
            </w:pPr>
            <w:r>
              <w:rPr>
                <w:b w:val="false"/>
                <w:bCs w:val="false"/>
                <w:i w:val="false"/>
                <w:iCs w:val="false"/>
              </w:rPr>
              <w:t xml:space="preserve">Distributes application and administrative traffic across the two application servers, with health checks, as an active-passive pair sharing one virtual address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Security information and event management on three virtual machines, for indexing, management and the dashboard, with log aggregation and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by two load balancer virtual machines, an active-passive pair on different application hosts, and the cluster also keeps the two instances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9 virtual machines: the secondary copy of the database, kept current by database replication; a domain controller, kept current by directory replication; and standby copies of the integration gateway, application server, management and backup server virtual machines, one of each, and of the three security monitoring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18 virtual machines: the 16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5722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database node,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6"/>
        <w:gridCol w:w="1120"/>
        <w:gridCol w:w="6074"/>
      </w:tblGrid>
      <w:tr>
        <w:trPr>
          <w:tblHeader/>
        </w:trPr>
        <w:tc>
          <w:tcPr>
            <w:tcW w:type="dxa" w:w="1826"/>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074"/>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4"/>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4"/>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one database node on each</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4"/>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a protected drive pool, RAID 6 or the manufacturer's equivalent, encryption at rest, not less than 20 TB usable after RAID</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4"/>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4"/>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4"/>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256 GB of memory, redundant power, internal storage of not less than 20 TB usable after RAID, running the 9 virtual machines of the secondary environment at the Purchaser's disaster recovery data center</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4"/>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4"/>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4"/>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074"/>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4"/>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4"/>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4"/>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4"/>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826"/>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074"/>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826"/>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074"/>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30"/>
        <w:gridCol w:w="5690"/>
      </w:tblGrid>
      <w:tr>
        <w:trPr>
          <w:tblHeader/>
        </w:trPr>
        <w:tc>
          <w:tcPr>
            <w:tcW w:type="dxa" w:w="333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69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690"/>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each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690"/>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storage array, all switches and all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690"/>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690"/>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2b05175907e4e6f47c79589378dc9f07a4ef6464.png"/><Relationship Id="rId13" Type="http://schemas.openxmlformats.org/officeDocument/2006/relationships/image" Target="media/85d8e9ea28e6e9f659233abcac2ed15d9a915f49.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77b2a768a6481f0fae733d724f51a29d9cac4cca.png"/><Relationship Id="rId18" Type="http://schemas.openxmlformats.org/officeDocument/2006/relationships/image" Target="media/f2db1ef0bdf3253f63884b03d09569e84a9c059c.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2026-10-09T10:01:49.147Z</dcterms:created>
  <dcterms:modified xsi:type="dcterms:W3CDTF">2026-10-09T10:01:49.147Z</dcterms:modified>
</cp:coreProperties>
</file>

<file path=docProps/custom.xml><?xml version="1.0" encoding="utf-8"?>
<Properties xmlns="http://schemas.openxmlformats.org/officeDocument/2006/custom-properties" xmlns:vt="http://schemas.openxmlformats.org/officeDocument/2006/docPropsVTypes"/>
</file>