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Cybersecurity Risk Management Plan</w:t>
      </w:r>
    </w:p>
    <w:p>
      <w:pPr>
        <w:spacing w:after="140" w:before="360"/>
      </w:pPr>
      <w:r>
        <w:rPr>
          <w:color w:val="2F5496"/>
          <w:sz w:val="26"/>
          <w:szCs w:val="26"/>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r>
        <w:br w:type="page"/>
      </w:r>
    </w:p>
    <w:p>
      <w:pPr>
        <w:pStyle w:val="Heading1"/>
        <w:numPr>
          <w:ilvl w:val="0"/>
          <w:numId w:val="2"/>
        </w:numPr>
        <w:spacing w:after="140" w:before="240"/>
      </w:pPr>
      <w:r>
        <w:t xml:space="preserve">S</w:t>
      </w:r>
      <w:bookmarkStart w:name="sec_1" w:id="1"/>
      <w:r>
        <w:rPr>
          <w:b w:val="false"/>
          <w:bCs w:val="false"/>
          <w:i w:val="false"/>
          <w:iCs w:val="false"/>
        </w:rPr>
        <w:t xml:space="preserve">cope and Approach</w:t>
      </w:r>
      <w:bookmarkEnd w:id="1"/>
    </w:p>
    <w:p>
      <w:pPr>
        <w:pStyle w:val="Heading2"/>
        <w:numPr>
          <w:ilvl w:val="1"/>
          <w:numId w:val="2"/>
        </w:numPr>
        <w:spacing w:after="140" w:before="260"/>
      </w:pPr>
      <w:r>
        <w:t xml:space="preserve">P</w:t>
      </w:r>
      <w:bookmarkStart w:name="sec_1_1" w:id="1"/>
      <w:r>
        <w:rPr>
          <w:b w:val="false"/>
          <w:bCs w:val="false"/>
          <w:i w:val="false"/>
          <w:iCs w:val="false"/>
        </w:rPr>
        <w:t xml:space="preserve">urpose and scope</w:t>
      </w:r>
      <w:bookmarkEnd w:id="1"/>
    </w:p>
    <w:p>
      <w:pPr>
        <w:spacing w:after="140" w:line="276"/>
      </w:pPr>
      <w:r>
        <w:rPr>
          <w:b w:val="false"/>
          <w:bCs w:val="false"/>
          <w:i w:val="false"/>
          <w:iCs w:val="false"/>
        </w:rPr>
        <w:t xml:space="preserve">This plan sets out the method statement, management strategies, implementation plans and innovations by which the cyber security risks of the Information System are managed, as required by PDS ITP 11.2(j), and is the cybersecurity risk part of the plan evaluated under Category 3 of Section III. Together with the Change Management Plan, presented separately, it forms the Cybersecurity Risk and Change Management Plan referred to in the System Architecture.</w:t>
      </w:r>
    </w:p>
    <w:p>
      <w:pPr>
        <w:spacing w:after="140" w:line="276"/>
      </w:pPr>
      <w:r>
        <w:rPr>
          <w:b w:val="false"/>
          <w:bCs w:val="false"/>
          <w:i w:val="false"/>
          <w:iCs w:val="false"/>
        </w:rPr>
        <w:t xml:space="preserve">It covers the Information System at the Card Production Facility and in the secondary environment, from the Effective Date through the warranty period. The security controls themselves are described in System Architecture Section 10, and this plan refers to them rather than repeating them.</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4932"/>
        <w:gridCol w:w="2198"/>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Category 3 criterion</w:t>
            </w:r>
          </w:p>
        </w:tc>
        <w:tc>
          <w:tcPr>
            <w:tcW w:type="dxa" w:w="4932"/>
            <w:shd w:fill="EDEDED" w:val="clear"/>
            <w:tcMar>
              <w:top w:type="dxa" w:w="60"/>
              <w:left w:type="dxa" w:w="100"/>
              <w:bottom w:type="dxa" w:w="60"/>
              <w:right w:type="dxa" w:w="100"/>
            </w:tcMar>
          </w:tcPr>
          <w:p>
            <w:pPr>
              <w:spacing w:after="0" w:before="0"/>
            </w:pPr>
            <w:r>
              <w:rPr>
                <w:b/>
                <w:bCs/>
                <w:i w:val="false"/>
                <w:iCs w:val="false"/>
              </w:rPr>
              <w:t xml:space="preserve">Item requested</w:t>
            </w:r>
          </w:p>
        </w:tc>
        <w:tc>
          <w:tcPr>
            <w:tcW w:type="dxa" w:w="2198"/>
            <w:shd w:fill="EDEDED" w:val="clear"/>
            <w:tcMar>
              <w:top w:type="dxa" w:w="60"/>
              <w:left w:type="dxa" w:w="100"/>
              <w:bottom w:type="dxa" w:w="60"/>
              <w:right w:type="dxa" w:w="100"/>
            </w:tcMar>
          </w:tcPr>
          <w:p>
            <w:pPr>
              <w:spacing w:after="0" w:before="0"/>
            </w:pPr>
            <w:r>
              <w:rPr>
                <w:b/>
                <w:bCs/>
                <w:i w:val="false"/>
                <w:iCs w:val="false"/>
              </w:rPr>
              <w:t xml:space="preserve">Where answered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1. Alignment with international frameworks</w:t>
            </w:r>
          </w:p>
        </w:tc>
        <w:tc>
          <w:tcPr>
            <w:tcW w:type="dxa" w:w="4932"/>
            <w:tcMar>
              <w:top w:type="dxa" w:w="60"/>
              <w:left w:type="dxa" w:w="100"/>
              <w:bottom w:type="dxa" w:w="60"/>
              <w:right w:type="dxa" w:w="100"/>
            </w:tcMar>
          </w:tcPr>
          <w:p>
            <w:pPr>
              <w:spacing w:after="0" w:before="0"/>
            </w:pPr>
            <w:r>
              <w:rPr>
                <w:b w:val="false"/>
                <w:bCs w:val="false"/>
                <w:i w:val="false"/>
                <w:iCs w:val="false"/>
              </w:rPr>
              <w:t xml:space="preserve">Plan mapped to NIST CSF or ISO 27005</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Sections </w:t>
            </w:r>
            <w:fldSimple w:instr="REF sec_1_2 \w \h">
              <w:r>
                <w:t xml:space="preserve">1.2</w:t>
              </w:r>
            </w:fldSimple>
            <w:r>
              <w:rPr>
                <w:b w:val="false"/>
                <w:bCs w:val="false"/>
                <w:i w:val="false"/>
                <w:iCs w:val="false"/>
              </w:rPr>
              <w:t xml:space="preserve">, 3 and 4</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Framework Compliance Matrix</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3_2 \w \h">
              <w:r>
                <w:t xml:space="preserve">3.2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Cybersecurity Architecture Diagram</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3_1 \w \h">
              <w:r>
                <w:t xml:space="preserve">3.1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Evidence of past implementation</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11_3 \w \h">
              <w:r>
                <w:t xml:space="preserve">11.3</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2. Risk identification, mitigation and response</w:t>
            </w:r>
          </w:p>
        </w:tc>
        <w:tc>
          <w:tcPr>
            <w:tcW w:type="dxa" w:w="4932"/>
            <w:tcMar>
              <w:top w:type="dxa" w:w="60"/>
              <w:left w:type="dxa" w:w="100"/>
              <w:bottom w:type="dxa" w:w="60"/>
              <w:right w:type="dxa" w:w="100"/>
            </w:tcMar>
          </w:tcPr>
          <w:p>
            <w:pPr>
              <w:spacing w:after="0" w:before="0"/>
            </w:pPr>
            <w:r>
              <w:rPr>
                <w:b w:val="false"/>
                <w:bCs w:val="false"/>
                <w:i w:val="false"/>
                <w:iCs w:val="false"/>
              </w:rPr>
              <w:t xml:space="preserve">Risk Identification Register</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4_3 \w \h">
              <w:r>
                <w:t xml:space="preserve">4.3</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Risk Assessment Matrix</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Sections </w:t>
            </w:r>
            <w:fldSimple w:instr="REF sec_4_2 \w \h">
              <w:r>
                <w:t xml:space="preserve">4.2</w:t>
              </w:r>
            </w:fldSimple>
            <w:r>
              <w:rPr>
                <w:b w:val="false"/>
                <w:bCs w:val="false"/>
                <w:i w:val="false"/>
                <w:iCs w:val="false"/>
              </w:rPr>
              <w:t xml:space="preserve"> and </w:t>
            </w:r>
            <w:fldSimple w:instr="REF sec_4_4 \w \h">
              <w:r>
                <w:t xml:space="preserve">4.4</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Mitigation and Control Strategy Document, template</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5</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Incident Response Plan</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7</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Business Continuity Response Plan</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8</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Compliance and Governance Statement</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Sections 2 and </w:t>
            </w:r>
            <w:fldSimple w:instr="REF sec_11_1 \w \h">
              <w:r>
                <w:t xml:space="preserve">11.1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3. Resources, skills, duration and capacity building</w:t>
            </w:r>
          </w:p>
        </w:tc>
        <w:tc>
          <w:tcPr>
            <w:tcW w:type="dxa" w:w="4932"/>
            <w:tcMar>
              <w:top w:type="dxa" w:w="60"/>
              <w:left w:type="dxa" w:w="100"/>
              <w:bottom w:type="dxa" w:w="60"/>
              <w:right w:type="dxa" w:w="100"/>
            </w:tcMar>
          </w:tcPr>
          <w:p>
            <w:pPr>
              <w:spacing w:after="0" w:before="0"/>
            </w:pPr>
            <w:r>
              <w:rPr>
                <w:b w:val="false"/>
                <w:bCs w:val="false"/>
                <w:i w:val="false"/>
                <w:iCs w:val="false"/>
              </w:rPr>
              <w:t xml:space="preserve">Cybersecurity Work Breakdown Structure</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9_1 \w \h">
              <w:r>
                <w:t xml:space="preserve">9.1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Resource and Skill Matrix</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9_3 \w \h">
              <w:r>
                <w:t xml:space="preserve">9.3</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Capacity-Building and Knowledge Transfer Plan</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9_4 \w \h">
              <w:r>
                <w:t xml:space="preserve">9.4</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Timeline and Gantt chart</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9_2 \w \h">
              <w:r>
                <w:t xml:space="preserve">9.2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Compliance Statement</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11_2 \w \h">
              <w:r>
                <w:t xml:space="preserve">11.2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PDS ITP 11.2(j)</w:t>
            </w:r>
          </w:p>
        </w:tc>
        <w:tc>
          <w:tcPr>
            <w:tcW w:type="dxa" w:w="4932"/>
            <w:tcMar>
              <w:top w:type="dxa" w:w="60"/>
              <w:left w:type="dxa" w:w="100"/>
              <w:bottom w:type="dxa" w:w="60"/>
              <w:right w:type="dxa" w:w="100"/>
            </w:tcMar>
          </w:tcPr>
          <w:p>
            <w:pPr>
              <w:spacing w:after="0" w:before="0"/>
            </w:pPr>
            <w:r>
              <w:rPr>
                <w:b w:val="false"/>
                <w:bCs w:val="false"/>
                <w:i w:val="false"/>
                <w:iCs w:val="false"/>
              </w:rPr>
              <w:t xml:space="preserve">Method statement and implementation plans</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Sections 6 and 9</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Management strategies</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Sections 2, 4 and 5</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Innovations</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10</w:t>
            </w:r>
          </w:p>
        </w:tc>
      </w:tr>
    </w:tbl>
    <w:p>
      <w:pPr>
        <w:spacing w:after="140"/>
      </w:pPr>
    </w:p>
    <w:p>
      <w:pPr>
        <w:pStyle w:val="Heading2"/>
        <w:numPr>
          <w:ilvl w:val="1"/>
          <w:numId w:val="2"/>
        </w:numPr>
        <w:spacing w:after="140" w:before="260"/>
      </w:pPr>
      <w:r>
        <w:t xml:space="preserve">F</w:t>
      </w:r>
      <w:bookmarkStart w:name="sec_1_2" w:id="1"/>
      <w:r>
        <w:rPr>
          <w:b w:val="false"/>
          <w:bCs w:val="false"/>
          <w:i w:val="false"/>
          <w:iCs w:val="false"/>
        </w:rPr>
        <w:t xml:space="preserve">rameworks and method</w:t>
      </w:r>
      <w:bookmarkEnd w:id="1"/>
    </w:p>
    <w:p>
      <w:pPr>
        <w:spacing w:after="140" w:line="276"/>
      </w:pPr>
      <w:r>
        <w:rPr>
          <w:b/>
          <w:bCs/>
          <w:i w:val="false"/>
          <w:iCs w:val="false"/>
        </w:rPr>
        <w:t xml:space="preserve">NIST Cybersecurity Framework 2.0</w:t>
      </w:r>
      <w:r>
        <w:rPr>
          <w:b w:val="false"/>
          <w:bCs w:val="false"/>
          <w:i w:val="false"/>
          <w:iCs w:val="false"/>
        </w:rPr>
        <w:t xml:space="preserve"> is the organizing structure. Every control is placed against the six functions, Govern, Identify, Protect, Detect, Respond and Recover, and the compliance matrix in </w:t>
      </w:r>
      <w:r>
        <w:rPr>
          <w:b w:val="false"/>
          <w:bCs w:val="false"/>
          <w:i w:val="false"/>
          <w:iCs w:val="false"/>
        </w:rPr>
        <w:t xml:space="preserve">Section </w:t>
      </w:r>
      <w:fldSimple w:instr="REF sec_3_2 \w \h">
        <w:r>
          <w:t xml:space="preserve">3.2</w:t>
        </w:r>
      </w:fldSimple>
      <w:r>
        <w:rPr>
          <w:b w:val="false"/>
          <w:bCs w:val="false"/>
          <w:i w:val="false"/>
          <w:iCs w:val="false"/>
        </w:rPr>
        <w:t xml:space="preserve"> covers all 22 categories.</w:t>
      </w:r>
    </w:p>
    <w:p>
      <w:pPr>
        <w:spacing w:after="140" w:line="276"/>
      </w:pPr>
      <w:r>
        <w:rPr>
          <w:b/>
          <w:bCs/>
          <w:i w:val="false"/>
          <w:iCs w:val="false"/>
        </w:rPr>
        <w:t xml:space="preserve">ISO/IEC 27005:2022</w:t>
      </w:r>
      <w:r>
        <w:rPr>
          <w:b w:val="false"/>
          <w:bCs w:val="false"/>
          <w:i w:val="false"/>
          <w:iCs w:val="false"/>
        </w:rPr>
        <w:t xml:space="preserve"> is the risk management process: criteria, identification, analysis, evaluation, treatment, acceptance, and monitoring and review, in </w:t>
      </w:r>
      <w:r>
        <w:rPr>
          <w:b w:val="false"/>
          <w:bCs w:val="false"/>
          <w:i w:val="false"/>
          <w:iCs w:val="false"/>
        </w:rPr>
        <w:t xml:space="preserve">Section 4</w:t>
      </w:r>
      <w:r>
        <w:rPr>
          <w:b w:val="false"/>
          <w:bCs w:val="false"/>
          <w:i w:val="false"/>
          <w:iCs w:val="false"/>
        </w:rPr>
        <w:t xml:space="preserve">.</w:t>
      </w:r>
    </w:p>
    <w:p>
      <w:pPr>
        <w:spacing w:after="140" w:line="276"/>
      </w:pPr>
      <w:r>
        <w:rPr>
          <w:b/>
          <w:bCs/>
          <w:i w:val="false"/>
          <w:iCs w:val="false"/>
        </w:rPr>
        <w:t xml:space="preserve">ISO/IEC 27001:2022</w:t>
      </w:r>
      <w:r>
        <w:rPr>
          <w:b w:val="false"/>
          <w:bCs w:val="false"/>
          <w:i w:val="false"/>
          <w:iCs w:val="false"/>
        </w:rPr>
        <w:t xml:space="preserve"> provides the management system and the Annex A controls. Inkript's information security management system is certified to ISO/IEC 27001, and the certificate is included in the Technical Proposal.</w:t>
      </w:r>
    </w:p>
    <w:p>
      <w:pPr>
        <w:spacing w:after="140" w:line="276"/>
      </w:pPr>
      <w:r>
        <w:rPr>
          <w:b/>
          <w:bCs/>
          <w:i w:val="false"/>
          <w:iCs w:val="false"/>
        </w:rPr>
        <w:t xml:space="preserve">What the plan protects first.</w:t>
      </w:r>
      <w:r>
        <w:rPr>
          <w:b w:val="false"/>
          <w:bCs w:val="false"/>
          <w:i w:val="false"/>
          <w:iCs w:val="false"/>
        </w:rPr>
        <w:t xml:space="preserve"> The most serious outcome in a card production facility is not data loss alone. It is a genuine card, correctly signed, produced for a person not entitled to it, because no verifier can tell it from a legitimate one. The risk criteria, the register and the detection priorities are weighted accordingly, alongside the protection of citizens' personal and biometric data under the Data Protection Act 2024.</w:t>
      </w:r>
    </w:p>
    <w:p>
      <w:r>
        <w:br w:type="page"/>
      </w:r>
    </w:p>
    <w:p>
      <w:r>
        <w:br w:type="page"/>
      </w:r>
    </w:p>
    <w:p>
      <w:pPr>
        <w:pStyle w:val="Heading1"/>
        <w:numPr>
          <w:ilvl w:val="0"/>
          <w:numId w:val="2"/>
        </w:numPr>
        <w:spacing w:after="140" w:before="240"/>
      </w:pPr>
      <w:r>
        <w:t xml:space="preserve">G</w:t>
      </w:r>
      <w:bookmarkStart w:name="sec_2" w:id="1"/>
      <w:r>
        <w:rPr>
          <w:b w:val="false"/>
          <w:bCs w:val="false"/>
          <w:i w:val="false"/>
          <w:iCs w:val="false"/>
        </w:rPr>
        <w:t xml:space="preserve">overnance</w:t>
      </w:r>
      <w:bookmarkEnd w:id="1"/>
    </w:p>
    <w:p>
      <w:pPr>
        <w:pStyle w:val="Heading2"/>
        <w:numPr>
          <w:ilvl w:val="1"/>
          <w:numId w:val="2"/>
        </w:numPr>
        <w:spacing w:after="140" w:before="260"/>
      </w:pPr>
      <w:r>
        <w:t xml:space="preserve">G</w:t>
      </w:r>
      <w:bookmarkStart w:name="sec_2_1" w:id="1"/>
      <w:r>
        <w:rPr>
          <w:b w:val="false"/>
          <w:bCs w:val="false"/>
          <w:i w:val="false"/>
          <w:iCs w:val="false"/>
        </w:rPr>
        <w:t xml:space="preserve">overnance and decision rights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5"/>
        <w:gridCol w:w="7615"/>
      </w:tblGrid>
      <w:tr>
        <w:trPr>
          <w:tblHeader/>
        </w:trPr>
        <w:tc>
          <w:tcPr>
            <w:tcW w:type="dxa" w:w="1405"/>
            <w:shd w:fill="EDEDED" w:val="clear"/>
            <w:tcMar>
              <w:top w:type="dxa" w:w="60"/>
              <w:left w:type="dxa" w:w="100"/>
              <w:bottom w:type="dxa" w:w="60"/>
              <w:right w:type="dxa" w:w="100"/>
            </w:tcMar>
          </w:tcPr>
          <w:p>
            <w:pPr>
              <w:spacing w:after="0" w:before="0"/>
            </w:pPr>
            <w:r>
              <w:rPr>
                <w:b/>
                <w:bCs/>
                <w:i w:val="false"/>
                <w:iCs w:val="false"/>
              </w:rPr>
              <w:t xml:space="preserve">Role or body</w:t>
            </w:r>
          </w:p>
        </w:tc>
        <w:tc>
          <w:tcPr>
            <w:tcW w:type="dxa" w:w="7615"/>
            <w:shd w:fill="EDEDED" w:val="clear"/>
            <w:tcMar>
              <w:top w:type="dxa" w:w="60"/>
              <w:left w:type="dxa" w:w="100"/>
              <w:bottom w:type="dxa" w:w="60"/>
              <w:right w:type="dxa" w:w="100"/>
            </w:tcMar>
          </w:tcPr>
          <w:p>
            <w:pPr>
              <w:spacing w:after="0" w:before="0"/>
            </w:pPr>
            <w:r>
              <w:rPr>
                <w:b/>
                <w:bCs/>
                <w:i w:val="false"/>
                <w:iCs w:val="false"/>
              </w:rPr>
              <w:t xml:space="preserve">Responsibility</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Project Steering Committee</w:t>
            </w:r>
          </w:p>
        </w:tc>
        <w:tc>
          <w:tcPr>
            <w:tcW w:type="dxa" w:w="7615"/>
            <w:tcMar>
              <w:top w:type="dxa" w:w="60"/>
              <w:left w:type="dxa" w:w="100"/>
              <w:bottom w:type="dxa" w:w="60"/>
              <w:right w:type="dxa" w:w="100"/>
            </w:tcMar>
          </w:tcPr>
          <w:p>
            <w:pPr>
              <w:spacing w:after="0" w:before="0"/>
            </w:pPr>
            <w:r>
              <w:rPr>
                <w:b w:val="false"/>
                <w:bCs w:val="false"/>
                <w:i w:val="false"/>
                <w:iCs w:val="false"/>
              </w:rPr>
              <w:t xml:space="preserve">Receives the security status monthly; decides on any High residual risk referred to it</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Security Working Group</w:t>
            </w:r>
          </w:p>
        </w:tc>
        <w:tc>
          <w:tcPr>
            <w:tcW w:type="dxa" w:w="7615"/>
            <w:tcMar>
              <w:top w:type="dxa" w:w="60"/>
              <w:left w:type="dxa" w:w="100"/>
              <w:bottom w:type="dxa" w:w="60"/>
              <w:right w:type="dxa" w:w="100"/>
            </w:tcMar>
          </w:tcPr>
          <w:p>
            <w:pPr>
              <w:spacing w:after="0" w:before="0"/>
            </w:pPr>
            <w:r>
              <w:rPr>
                <w:b w:val="false"/>
                <w:bCs w:val="false"/>
                <w:i w:val="false"/>
                <w:iCs w:val="false"/>
              </w:rPr>
              <w:t xml:space="preserve">Supplier security lead, NRB security officer, NRB ICT manager, Solution Architect and Network Engineer. Reviews the risk register, controls, vulnerabilities, incidents and the monthly compliance report, every two weeks during implementation and monthly in operation</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7615"/>
            <w:tcMar>
              <w:top w:type="dxa" w:w="60"/>
              <w:left w:type="dxa" w:w="100"/>
              <w:bottom w:type="dxa" w:w="60"/>
              <w:right w:type="dxa" w:w="100"/>
            </w:tcMar>
          </w:tcPr>
          <w:p>
            <w:pPr>
              <w:spacing w:after="0" w:before="0"/>
            </w:pPr>
            <w:r>
              <w:rPr>
                <w:b w:val="false"/>
                <w:bCs w:val="false"/>
                <w:i w:val="false"/>
                <w:iCs w:val="false"/>
              </w:rPr>
              <w:t xml:space="preserve">The Cybersecurity and PKI Specialist. Owns this plan, the risk register and the Incident Response Plan; incident manager until handover</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NRB security officer</w:t>
            </w:r>
          </w:p>
        </w:tc>
        <w:tc>
          <w:tcPr>
            <w:tcW w:type="dxa" w:w="7615"/>
            <w:tcMar>
              <w:top w:type="dxa" w:w="60"/>
              <w:left w:type="dxa" w:w="100"/>
              <w:bottom w:type="dxa" w:w="60"/>
              <w:right w:type="dxa" w:w="100"/>
            </w:tcMar>
          </w:tcPr>
          <w:p>
            <w:pPr>
              <w:spacing w:after="0" w:before="0"/>
            </w:pPr>
            <w:r>
              <w:rPr>
                <w:b w:val="false"/>
                <w:bCs w:val="false"/>
                <w:i w:val="false"/>
                <w:iCs w:val="false"/>
              </w:rPr>
              <w:t xml:space="preserve">Accepts residual risk; incident manager from handover</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631"/>
        <w:gridCol w:w="3389"/>
      </w:tblGrid>
      <w:tr>
        <w:trPr>
          <w:tblHeader/>
        </w:trPr>
        <w:tc>
          <w:tcPr>
            <w:tcW w:type="dxa" w:w="5631"/>
            <w:shd w:fill="EDEDED" w:val="clear"/>
            <w:tcMar>
              <w:top w:type="dxa" w:w="60"/>
              <w:left w:type="dxa" w:w="100"/>
              <w:bottom w:type="dxa" w:w="60"/>
              <w:right w:type="dxa" w:w="100"/>
            </w:tcMar>
          </w:tcPr>
          <w:p>
            <w:pPr>
              <w:spacing w:after="0" w:before="0"/>
            </w:pPr>
            <w:r>
              <w:rPr>
                <w:b/>
                <w:bCs/>
                <w:i w:val="false"/>
                <w:iCs w:val="false"/>
              </w:rPr>
              <w:t xml:space="preserve">Decision</w:t>
            </w:r>
          </w:p>
        </w:tc>
        <w:tc>
          <w:tcPr>
            <w:tcW w:type="dxa" w:w="3389"/>
            <w:shd w:fill="EDEDED" w:val="clear"/>
            <w:tcMar>
              <w:top w:type="dxa" w:w="60"/>
              <w:left w:type="dxa" w:w="100"/>
              <w:bottom w:type="dxa" w:w="60"/>
              <w:right w:type="dxa" w:w="100"/>
            </w:tcMar>
          </w:tcPr>
          <w:p>
            <w:pPr>
              <w:spacing w:after="0" w:before="0"/>
            </w:pPr>
            <w:r>
              <w:rPr>
                <w:b/>
                <w:bCs/>
                <w:i w:val="false"/>
                <w:iCs w:val="false"/>
              </w:rPr>
              <w:t xml:space="preserve">Decided by</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Approval of the security design and policies</w:t>
            </w:r>
          </w:p>
        </w:tc>
        <w:tc>
          <w:tcPr>
            <w:tcW w:type="dxa" w:w="3389"/>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Acceptance of a Medium residual risk</w:t>
            </w:r>
          </w:p>
        </w:tc>
        <w:tc>
          <w:tcPr>
            <w:tcW w:type="dxa" w:w="3389"/>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Acceptance of a High residual risk, time-bound with a treatment plan</w:t>
            </w:r>
          </w:p>
        </w:tc>
        <w:tc>
          <w:tcPr>
            <w:tcW w:type="dxa" w:w="3389"/>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Suspension of signing or production on an S1 incident</w:t>
            </w:r>
          </w:p>
        </w:tc>
        <w:tc>
          <w:tcPr>
            <w:tcW w:type="dxa" w:w="3389"/>
            <w:tcMar>
              <w:top w:type="dxa" w:w="60"/>
              <w:left w:type="dxa" w:w="100"/>
              <w:bottom w:type="dxa" w:w="60"/>
              <w:right w:type="dxa" w:w="100"/>
            </w:tcMar>
          </w:tcPr>
          <w:p>
            <w:pPr>
              <w:spacing w:after="0" w:before="0"/>
            </w:pPr>
            <w:r>
              <w:rPr>
                <w:b w:val="false"/>
                <w:bCs w:val="false"/>
                <w:i w:val="false"/>
                <w:iCs w:val="false"/>
              </w:rPr>
              <w:t xml:space="preserve">Incident manager, at once</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Resumption of signing or production after an S1 incident</w:t>
            </w:r>
          </w:p>
        </w:tc>
        <w:tc>
          <w:tcPr>
            <w:tcW w:type="dxa" w:w="3389"/>
            <w:tcMar>
              <w:top w:type="dxa" w:w="60"/>
              <w:left w:type="dxa" w:w="100"/>
              <w:bottom w:type="dxa" w:w="60"/>
              <w:right w:type="dxa" w:w="100"/>
            </w:tcMar>
          </w:tcPr>
          <w:p>
            <w:pPr>
              <w:spacing w:after="0" w:before="0"/>
            </w:pPr>
            <w:r>
              <w:rPr>
                <w:b w:val="false"/>
                <w:bCs w:val="false"/>
                <w:i w:val="false"/>
                <w:iCs w:val="false"/>
              </w:rPr>
              <w:t xml:space="preserve">NRB, in writing</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Invocation of the secondary environment</w:t>
            </w:r>
          </w:p>
        </w:tc>
        <w:tc>
          <w:tcPr>
            <w:tcW w:type="dxa" w:w="3389"/>
            <w:tcMar>
              <w:top w:type="dxa" w:w="60"/>
              <w:left w:type="dxa" w:w="100"/>
              <w:bottom w:type="dxa" w:w="60"/>
              <w:right w:type="dxa" w:w="100"/>
            </w:tcMar>
          </w:tcPr>
          <w:p>
            <w:pPr>
              <w:spacing w:after="0" w:before="0"/>
            </w:pPr>
            <w:r>
              <w:rPr>
                <w:b w:val="false"/>
                <w:bCs w:val="false"/>
                <w:i w:val="false"/>
                <w:iCs w:val="false"/>
              </w:rPr>
              <w:t xml:space="preserve">NRB's business continuity manager, on the Supplier's advice</w:t>
            </w:r>
          </w:p>
        </w:tc>
      </w:tr>
    </w:tbl>
    <w:p>
      <w:pPr>
        <w:spacing w:after="140"/>
      </w:pPr>
    </w:p>
    <w:p>
      <w:pPr>
        <w:spacing w:after="140" w:line="276"/>
      </w:pPr>
      <w:r>
        <w:rPr>
          <w:b w:val="false"/>
          <w:bCs w:val="false"/>
          <w:i w:val="false"/>
          <w:iCs w:val="false"/>
        </w:rPr>
        <w:t xml:space="preserve">Inkript remains the single point of accountability under ITP 16.2(b). Its obligations under GCC 44.1 are flowed down in writing to the equipment manufacturer, the card manufacturer and the facility works subcontractor, according to what each touches.</w:t>
      </w:r>
    </w:p>
    <w:p>
      <w:pPr>
        <w:pStyle w:val="Heading2"/>
        <w:numPr>
          <w:ilvl w:val="1"/>
          <w:numId w:val="2"/>
        </w:numPr>
        <w:spacing w:after="140" w:before="260"/>
      </w:pPr>
      <w:r>
        <w:t xml:space="preserve">S</w:t>
      </w:r>
      <w:bookmarkStart w:name="sec_2_2" w:id="1"/>
      <w:r>
        <w:rPr>
          <w:b w:val="false"/>
          <w:bCs w:val="false"/>
          <w:i w:val="false"/>
          <w:iCs w:val="false"/>
        </w:rPr>
        <w:t xml:space="preserve">ecurity policies</w:t>
      </w:r>
      <w:bookmarkEnd w:id="1"/>
    </w:p>
    <w:p>
      <w:pPr>
        <w:spacing w:after="140" w:line="276"/>
      </w:pPr>
      <w:r>
        <w:rPr>
          <w:b w:val="false"/>
          <w:bCs w:val="false"/>
          <w:i w:val="false"/>
          <w:iCs w:val="false"/>
        </w:rPr>
        <w:t xml:space="preserve">The System enforces the following policies, as stated in System Architecture Section 10.7. They are drafted during design, approved with it in week 6, and owned by NRB from handover.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012"/>
        <w:gridCol w:w="2338"/>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Policy</w:t>
            </w:r>
          </w:p>
        </w:tc>
        <w:tc>
          <w:tcPr>
            <w:tcW w:type="dxa" w:w="5012"/>
            <w:shd w:fill="EDEDED" w:val="clear"/>
            <w:tcMar>
              <w:top w:type="dxa" w:w="60"/>
              <w:left w:type="dxa" w:w="100"/>
              <w:bottom w:type="dxa" w:w="60"/>
              <w:right w:type="dxa" w:w="100"/>
            </w:tcMar>
          </w:tcPr>
          <w:p>
            <w:pPr>
              <w:spacing w:after="0" w:before="0"/>
            </w:pPr>
            <w:r>
              <w:rPr>
                <w:b/>
                <w:bCs/>
                <w:i w:val="false"/>
                <w:iCs w:val="false"/>
              </w:rPr>
              <w:t xml:space="preserve">What it governs</w:t>
            </w:r>
          </w:p>
        </w:tc>
        <w:tc>
          <w:tcPr>
            <w:tcW w:type="dxa" w:w="2338"/>
            <w:shd w:fill="EDEDED" w:val="clear"/>
            <w:tcMar>
              <w:top w:type="dxa" w:w="60"/>
              <w:left w:type="dxa" w:w="100"/>
              <w:bottom w:type="dxa" w:w="60"/>
              <w:right w:type="dxa" w:w="100"/>
            </w:tcMar>
          </w:tcPr>
          <w:p>
            <w:pPr>
              <w:spacing w:after="0" w:before="0"/>
            </w:pPr>
            <w:r>
              <w:rPr>
                <w:b/>
                <w:bCs/>
                <w:i w:val="false"/>
                <w:iCs w:val="false"/>
              </w:rPr>
              <w:t xml:space="preserve">Implemented through</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Information security</w:t>
            </w:r>
          </w:p>
        </w:tc>
        <w:tc>
          <w:tcPr>
            <w:tcW w:type="dxa" w:w="5012"/>
            <w:tcMar>
              <w:top w:type="dxa" w:w="60"/>
              <w:left w:type="dxa" w:w="100"/>
              <w:bottom w:type="dxa" w:w="60"/>
              <w:right w:type="dxa" w:w="100"/>
            </w:tcMar>
          </w:tcPr>
          <w:p>
            <w:pPr>
              <w:spacing w:after="0" w:before="0"/>
            </w:pPr>
            <w:r>
              <w:rPr>
                <w:b w:val="false"/>
                <w:bCs w:val="false"/>
                <w:i w:val="false"/>
                <w:iCs w:val="false"/>
              </w:rPr>
              <w:t xml:space="preserve">Objectives, scope, roles and frameworks</w:t>
            </w:r>
          </w:p>
        </w:tc>
        <w:tc>
          <w:tcPr>
            <w:tcW w:type="dxa" w:w="2338"/>
            <w:tcMar>
              <w:top w:type="dxa" w:w="60"/>
              <w:left w:type="dxa" w:w="100"/>
              <w:bottom w:type="dxa" w:w="60"/>
              <w:right w:type="dxa" w:w="100"/>
            </w:tcMar>
          </w:tcPr>
          <w:p>
            <w:pPr>
              <w:spacing w:after="0" w:before="0"/>
            </w:pPr>
            <w:r>
              <w:rPr>
                <w:b w:val="false"/>
                <w:bCs w:val="false"/>
                <w:i w:val="false"/>
                <w:iCs w:val="false"/>
              </w:rPr>
              <w:t xml:space="preserve">This plan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Access control</w:t>
            </w:r>
          </w:p>
        </w:tc>
        <w:tc>
          <w:tcPr>
            <w:tcW w:type="dxa" w:w="5012"/>
            <w:tcMar>
              <w:top w:type="dxa" w:w="60"/>
              <w:left w:type="dxa" w:w="100"/>
              <w:bottom w:type="dxa" w:w="60"/>
              <w:right w:type="dxa" w:w="100"/>
            </w:tcMar>
          </w:tcPr>
          <w:p>
            <w:pPr>
              <w:spacing w:after="0" w:before="0"/>
            </w:pPr>
            <w:r>
              <w:rPr>
                <w:b w:val="false"/>
                <w:bCs w:val="false"/>
                <w:i w:val="false"/>
                <w:iCs w:val="false"/>
              </w:rPr>
              <w:t xml:space="preserve">Role-based access, separation of duties, multi-factor authentication, privileged and just-in-time access, recertification</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6.12 and 10.3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Acceptable use</w:t>
            </w:r>
          </w:p>
        </w:tc>
        <w:tc>
          <w:tcPr>
            <w:tcW w:type="dxa" w:w="5012"/>
            <w:tcMar>
              <w:top w:type="dxa" w:w="60"/>
              <w:left w:type="dxa" w:w="100"/>
              <w:bottom w:type="dxa" w:w="60"/>
              <w:right w:type="dxa" w:w="100"/>
            </w:tcMar>
          </w:tcPr>
          <w:p>
            <w:pPr>
              <w:spacing w:after="0" w:before="0"/>
            </w:pPr>
            <w:r>
              <w:rPr>
                <w:b w:val="false"/>
                <w:bCs w:val="false"/>
                <w:i w:val="false"/>
                <w:iCs w:val="false"/>
              </w:rPr>
              <w:t xml:space="preserve">Use of facility systems, removable media and personal devices, handling of citizen data</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10.2 and 10.3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Cryptographic key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Algorithms, key lifecycle, custody of the hardware security modules, certificates</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Vulnerability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Scanning, assessment, penetration testing, remediation by severity</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Patch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Patch cycles, emergency patching, the equipment manufacturer's releases</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Logging and monitoring</w:t>
            </w:r>
          </w:p>
        </w:tc>
        <w:tc>
          <w:tcPr>
            <w:tcW w:type="dxa" w:w="5012"/>
            <w:tcMar>
              <w:top w:type="dxa" w:w="60"/>
              <w:left w:type="dxa" w:w="100"/>
              <w:bottom w:type="dxa" w:w="60"/>
              <w:right w:type="dxa" w:w="100"/>
            </w:tcMar>
          </w:tcPr>
          <w:p>
            <w:pPr>
              <w:spacing w:after="0" w:before="0"/>
            </w:pPr>
            <w:r>
              <w:rPr>
                <w:b w:val="false"/>
                <w:bCs w:val="false"/>
                <w:i w:val="false"/>
                <w:iCs w:val="false"/>
              </w:rPr>
              <w:t xml:space="preserve">Log sources, integrity, retention, alerting</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10.6 and 10.7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Incident response</w:t>
            </w:r>
          </w:p>
        </w:tc>
        <w:tc>
          <w:tcPr>
            <w:tcW w:type="dxa" w:w="5012"/>
            <w:tcMar>
              <w:top w:type="dxa" w:w="60"/>
              <w:left w:type="dxa" w:w="100"/>
              <w:bottom w:type="dxa" w:w="60"/>
              <w:right w:type="dxa" w:w="100"/>
            </w:tcMar>
          </w:tcPr>
          <w:p>
            <w:pPr>
              <w:spacing w:after="0" w:before="0"/>
            </w:pPr>
            <w:r>
              <w:rPr>
                <w:b w:val="false"/>
                <w:bCs w:val="false"/>
                <w:i w:val="false"/>
                <w:iCs w:val="false"/>
              </w:rPr>
              <w:t xml:space="preserve">Classification, escalation and reporting</w:t>
            </w:r>
          </w:p>
        </w:tc>
        <w:tc>
          <w:tcPr>
            <w:tcW w:type="dxa" w:w="2338"/>
            <w:tcMar>
              <w:top w:type="dxa" w:w="60"/>
              <w:left w:type="dxa" w:w="100"/>
              <w:bottom w:type="dxa" w:w="60"/>
              <w:right w:type="dxa" w:w="100"/>
            </w:tcMar>
          </w:tcPr>
          <w:p>
            <w:pPr>
              <w:spacing w:after="0" w:before="0"/>
            </w:pPr>
            <w:r>
              <w:rPr>
                <w:b w:val="false"/>
                <w:bCs w:val="false"/>
                <w:i w:val="false"/>
                <w:iCs w:val="false"/>
              </w:rPr>
              <w:t xml:space="preserve">Section 7</w:t>
            </w:r>
          </w:p>
        </w:tc>
      </w:tr>
    </w:tbl>
    <w:p>
      <w:pPr>
        <w:spacing w:after="140"/>
      </w:pPr>
    </w:p>
    <w:p>
      <w:pPr>
        <w:spacing w:after="140" w:line="276"/>
      </w:pPr>
      <w:r>
        <w:rPr>
          <w:b w:val="false"/>
          <w:bCs w:val="false"/>
          <w:i w:val="false"/>
          <w:iCs w:val="false"/>
        </w:rPr>
        <w:t xml:space="preserve">Each policy is reviewed annually and after any S1 incident.</w:t>
      </w:r>
    </w:p>
    <w:p>
      <w:r>
        <w:br w:type="page"/>
      </w:r>
    </w:p>
    <w:p>
      <w:r>
        <w:br w:type="page"/>
      </w:r>
    </w:p>
    <w:p>
      <w:pPr>
        <w:pStyle w:val="Heading1"/>
        <w:numPr>
          <w:ilvl w:val="0"/>
          <w:numId w:val="2"/>
        </w:numPr>
        <w:spacing w:after="140" w:before="240"/>
      </w:pPr>
      <w:r>
        <w:t xml:space="preserve">A</w:t>
      </w:r>
      <w:bookmarkStart w:name="sec_3" w:id="1"/>
      <w:r>
        <w:rPr>
          <w:b w:val="false"/>
          <w:bCs w:val="false"/>
          <w:i w:val="false"/>
          <w:iCs w:val="false"/>
        </w:rPr>
        <w:t xml:space="preserve">rchitecture and Framework Compliance</w:t>
      </w:r>
      <w:bookmarkEnd w:id="1"/>
    </w:p>
    <w:p>
      <w:pPr>
        <w:pStyle w:val="Heading2"/>
        <w:numPr>
          <w:ilvl w:val="1"/>
          <w:numId w:val="2"/>
        </w:numPr>
        <w:spacing w:after="140" w:before="260"/>
      </w:pPr>
      <w:r>
        <w:t xml:space="preserve">C</w:t>
      </w:r>
      <w:bookmarkStart w:name="sec_3_1" w:id="1"/>
      <w:r>
        <w:rPr>
          <w:b w:val="false"/>
          <w:bCs w:val="false"/>
          <w:i w:val="false"/>
          <w:iCs w:val="false"/>
        </w:rPr>
        <w:t xml:space="preserve">ybersecurity architecture</w:t>
      </w:r>
      <w:bookmarkEnd w:id="1"/>
    </w:p>
    <w:p>
      <w:pPr>
        <w:spacing w:after="140" w:line="276"/>
      </w:pPr>
      <w:r>
        <w:rPr>
          <w:b w:val="false"/>
          <w:bCs w:val="false"/>
          <w:i w:val="false"/>
          <w:iCs w:val="false"/>
        </w:rPr>
        <w:t xml:space="preserve">The architecture is layered, so that no single control is the only thing standing between an attacker and citizen data or the signing key. It is described in System Architecture Section 10, with the network zones in System Architecture Section 9.2.</w:t>
      </w:r>
    </w:p>
    <w:p>
      <w:pPr>
        <w:spacing w:after="120" w:before="200"/>
        <w:jc w:val="center"/>
      </w:pPr>
      <w:r>
        <w:drawing>
          <wp:inline distT="0" distB="0" distL="0" distR="0">
            <wp:extent cx="57150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28975"/>
                    </a:xfrm>
                    <a:prstGeom prst="rect">
                      <a:avLst/>
                    </a:prstGeom>
                  </pic:spPr>
                </pic:pic>
              </a:graphicData>
            </a:graphic>
          </wp:inline>
        </w:drawing>
      </w:r>
    </w:p>
    <w:p>
      <w:pPr>
        <w:spacing w:after="200"/>
        <w:jc w:val="center"/>
      </w:pPr>
      <w:r>
        <w:rPr>
          <w:b w:val="false"/>
          <w:bCs w:val="false"/>
          <w:i/>
          <w:iCs/>
        </w:rPr>
        <w:t xml:space="preserve">Figure 3.1: Cybersecurity architecture, arranged by the six functions of the NIST Cybersecurity Framework 2.0. Protective controls run in depth from the network to the data and keys, with detection, response and recovery spanning every layer. The double border is provided by the Purchaser.</w:t>
      </w:r>
    </w:p>
    <w:p>
      <w:pPr>
        <w:pStyle w:val="Heading2"/>
        <w:numPr>
          <w:ilvl w:val="1"/>
          <w:numId w:val="2"/>
        </w:numPr>
        <w:spacing w:after="140" w:before="260"/>
      </w:pPr>
      <w:r>
        <w:t xml:space="preserve">F</w:t>
      </w:r>
      <w:bookmarkStart w:name="sec_3_2" w:id="1"/>
      <w:r>
        <w:rPr>
          <w:b w:val="false"/>
          <w:bCs w:val="false"/>
          <w:i w:val="false"/>
          <w:iCs w:val="false"/>
        </w:rPr>
        <w:t xml:space="preserve">ramework compliance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70"/>
        <w:gridCol w:w="4440"/>
        <w:gridCol w:w="2110"/>
      </w:tblGrid>
      <w:tr>
        <w:trPr>
          <w:tblHeader/>
        </w:trPr>
        <w:tc>
          <w:tcPr>
            <w:tcW w:type="dxa" w:w="2470"/>
            <w:shd w:fill="EDEDED" w:val="clear"/>
            <w:tcMar>
              <w:top w:type="dxa" w:w="60"/>
              <w:left w:type="dxa" w:w="100"/>
              <w:bottom w:type="dxa" w:w="60"/>
              <w:right w:type="dxa" w:w="100"/>
            </w:tcMar>
          </w:tcPr>
          <w:p>
            <w:pPr>
              <w:spacing w:after="0" w:before="0"/>
            </w:pPr>
            <w:r>
              <w:rPr>
                <w:b/>
                <w:bCs/>
                <w:i w:val="false"/>
                <w:iCs w:val="false"/>
              </w:rPr>
              <w:t xml:space="preserve">NIST CSF 2.0 category, with ISO/IEC 27001 Annex A</w:t>
            </w:r>
          </w:p>
        </w:tc>
        <w:tc>
          <w:tcPr>
            <w:tcW w:type="dxa" w:w="4440"/>
            <w:shd w:fill="EDEDED" w:val="clear"/>
            <w:tcMar>
              <w:top w:type="dxa" w:w="60"/>
              <w:left w:type="dxa" w:w="100"/>
              <w:bottom w:type="dxa" w:w="60"/>
              <w:right w:type="dxa" w:w="100"/>
            </w:tcMar>
          </w:tcPr>
          <w:p>
            <w:pPr>
              <w:spacing w:after="0" w:before="0"/>
            </w:pPr>
            <w:r>
              <w:rPr>
                <w:b/>
                <w:bCs/>
                <w:i w:val="false"/>
                <w:iCs w:val="false"/>
              </w:rPr>
              <w:t xml:space="preserve">How it is met</w:t>
            </w:r>
          </w:p>
        </w:tc>
        <w:tc>
          <w:tcPr>
            <w:tcW w:type="dxa" w:w="2110"/>
            <w:shd w:fill="EDEDED" w:val="clear"/>
            <w:tcMar>
              <w:top w:type="dxa" w:w="60"/>
              <w:left w:type="dxa" w:w="100"/>
              <w:bottom w:type="dxa" w:w="60"/>
              <w:right w:type="dxa" w:w="100"/>
            </w:tcMar>
          </w:tcPr>
          <w:p>
            <w:pPr>
              <w:spacing w:after="0" w:before="0"/>
            </w:pPr>
            <w:r>
              <w:rPr>
                <w:b/>
                <w:bCs/>
                <w:i w:val="false"/>
                <w:iCs w:val="false"/>
              </w:rPr>
              <w:t xml:space="preserve">Evidence</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GV.OC Organizational context (A.5.31, A.5.34)</w:t>
            </w:r>
          </w:p>
        </w:tc>
        <w:tc>
          <w:tcPr>
            <w:tcW w:type="dxa" w:w="4440"/>
            <w:tcMar>
              <w:top w:type="dxa" w:w="60"/>
              <w:left w:type="dxa" w:w="100"/>
              <w:bottom w:type="dxa" w:w="60"/>
              <w:right w:type="dxa" w:w="100"/>
            </w:tcMar>
          </w:tcPr>
          <w:p>
            <w:pPr>
              <w:spacing w:after="0" w:before="0"/>
            </w:pPr>
            <w:r>
              <w:rPr>
                <w:b w:val="false"/>
                <w:bCs w:val="false"/>
                <w:i w:val="false"/>
                <w:iCs w:val="false"/>
              </w:rPr>
              <w:t xml:space="preserve">Mission, stakeholders and Malawi legal obligations set the risk criteria, </w:t>
            </w:r>
            <w:r>
              <w:rPr>
                <w:b w:val="false"/>
                <w:bCs w:val="false"/>
                <w:i w:val="false"/>
                <w:iCs w:val="false"/>
              </w:rPr>
              <w:t xml:space="preserve">Section </w:t>
            </w:r>
            <w:fldSimple w:instr="REF sec_4_2 \w \h">
              <w:r>
                <w:t xml:space="preserve">4.2</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Compliance statement; Privacy Impact Assessment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GV.RM Risk management strategy (Clause 6.1; Clause 8.2)</w:t>
            </w:r>
          </w:p>
        </w:tc>
        <w:tc>
          <w:tcPr>
            <w:tcW w:type="dxa" w:w="4440"/>
            <w:tcMar>
              <w:top w:type="dxa" w:w="60"/>
              <w:left w:type="dxa" w:w="100"/>
              <w:bottom w:type="dxa" w:w="60"/>
              <w:right w:type="dxa" w:w="100"/>
            </w:tcMar>
          </w:tcPr>
          <w:p>
            <w:pPr>
              <w:spacing w:after="0" w:before="0"/>
            </w:pPr>
            <w:r>
              <w:rPr>
                <w:b w:val="false"/>
                <w:bCs w:val="false"/>
                <w:i w:val="false"/>
                <w:iCs w:val="false"/>
              </w:rPr>
              <w:t xml:space="preserve">ISO/IEC 27005 process and acceptance authority, </w:t>
            </w:r>
            <w:r>
              <w:rPr>
                <w:b w:val="false"/>
                <w:bCs w:val="false"/>
                <w:i w:val="false"/>
                <w:iCs w:val="false"/>
              </w:rPr>
              <w:t xml:space="preserve">Section 4</w:t>
            </w:r>
          </w:p>
        </w:tc>
        <w:tc>
          <w:tcPr>
            <w:tcW w:type="dxa" w:w="2110"/>
            <w:tcMar>
              <w:top w:type="dxa" w:w="60"/>
              <w:left w:type="dxa" w:w="100"/>
              <w:bottom w:type="dxa" w:w="60"/>
              <w:right w:type="dxa" w:w="100"/>
            </w:tcMar>
          </w:tcPr>
          <w:p>
            <w:pPr>
              <w:spacing w:after="0" w:before="0"/>
            </w:pPr>
            <w:r>
              <w:rPr>
                <w:b w:val="false"/>
                <w:bCs w:val="false"/>
                <w:i w:val="false"/>
                <w:iCs w:val="false"/>
              </w:rPr>
              <w:t xml:space="preserve">Risk register</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GV.RR Roles and authorities (A.5.2, A.5.3)</w:t>
            </w:r>
          </w:p>
        </w:tc>
        <w:tc>
          <w:tcPr>
            <w:tcW w:type="dxa" w:w="4440"/>
            <w:tcMar>
              <w:top w:type="dxa" w:w="60"/>
              <w:left w:type="dxa" w:w="100"/>
              <w:bottom w:type="dxa" w:w="60"/>
              <w:right w:type="dxa" w:w="100"/>
            </w:tcMar>
          </w:tcPr>
          <w:p>
            <w:pPr>
              <w:spacing w:after="0" w:before="0"/>
            </w:pPr>
            <w:r>
              <w:rPr>
                <w:b w:val="false"/>
                <w:bCs w:val="false"/>
                <w:i w:val="false"/>
                <w:iCs w:val="false"/>
              </w:rPr>
              <w:t xml:space="preserve">Governance and decision rights, </w:t>
            </w:r>
            <w:r>
              <w:rPr>
                <w:b w:val="false"/>
                <w:bCs w:val="false"/>
                <w:i w:val="false"/>
                <w:iCs w:val="false"/>
              </w:rPr>
              <w:t xml:space="preserve">Section </w:t>
            </w:r>
            <w:fldSimple w:instr="REF sec_2_1 \w \h">
              <w:r>
                <w:t xml:space="preserve">2.1</w:t>
              </w:r>
            </w:fldSimple>
            <w:r>
              <w:rPr>
                <w:b w:val="false"/>
                <w:bCs w:val="false"/>
                <w:i w:val="false"/>
                <w:iCs w:val="false"/>
              </w:rPr>
              <w:t xml:space="preserve">; qualified personnel, </w:t>
            </w:r>
            <w:r>
              <w:rPr>
                <w:b w:val="false"/>
                <w:bCs w:val="false"/>
                <w:i w:val="false"/>
                <w:iCs w:val="false"/>
              </w:rPr>
              <w:t xml:space="preserve">Section </w:t>
            </w:r>
            <w:fldSimple w:instr="REF sec_9_3 \w \h">
              <w:r>
                <w:t xml:space="preserve">9.3</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CVs and certificates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GV.PO Policy (A.5.1, A.5.10)</w:t>
            </w:r>
          </w:p>
        </w:tc>
        <w:tc>
          <w:tcPr>
            <w:tcW w:type="dxa" w:w="4440"/>
            <w:tcMar>
              <w:top w:type="dxa" w:w="60"/>
              <w:left w:type="dxa" w:w="100"/>
              <w:bottom w:type="dxa" w:w="60"/>
              <w:right w:type="dxa" w:w="100"/>
            </w:tcMar>
          </w:tcPr>
          <w:p>
            <w:pPr>
              <w:spacing w:after="0" w:before="0"/>
            </w:pPr>
            <w:r>
              <w:rPr>
                <w:b w:val="false"/>
                <w:bCs w:val="false"/>
                <w:i w:val="false"/>
                <w:iCs w:val="false"/>
              </w:rPr>
              <w:t xml:space="preserve">Eight security policies, </w:t>
            </w:r>
            <w:r>
              <w:rPr>
                <w:b w:val="false"/>
                <w:bCs w:val="false"/>
                <w:i w:val="false"/>
                <w:iCs w:val="false"/>
              </w:rPr>
              <w:t xml:space="preserve">Section </w:t>
            </w:r>
            <w:fldSimple w:instr="REF sec_2_2 \w \h">
              <w:r>
                <w:t xml:space="preserve">2.2</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Approved policies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GV.OV Oversight (A.5.35, A.5.36)</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Working Group and monthly compliance report, </w:t>
            </w:r>
            <w:r>
              <w:rPr>
                <w:b w:val="false"/>
                <w:bCs w:val="false"/>
                <w:i w:val="false"/>
                <w:iCs w:val="false"/>
              </w:rPr>
              <w:t xml:space="preserve">Section </w:t>
            </w:r>
            <w:fldSimple w:instr="REF sec_6_3 \w \h">
              <w:r>
                <w:t xml:space="preserve">6.3</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Monthly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GV.SC Supply chain (A.5.19 to A.5.22)</w:t>
            </w:r>
          </w:p>
        </w:tc>
        <w:tc>
          <w:tcPr>
            <w:tcW w:type="dxa" w:w="4440"/>
            <w:tcMar>
              <w:top w:type="dxa" w:w="60"/>
              <w:left w:type="dxa" w:w="100"/>
              <w:bottom w:type="dxa" w:w="60"/>
              <w:right w:type="dxa" w:w="100"/>
            </w:tcMar>
          </w:tcPr>
          <w:p>
            <w:pPr>
              <w:spacing w:after="0" w:before="0"/>
            </w:pPr>
            <w:r>
              <w:rPr>
                <w:b w:val="false"/>
                <w:bCs w:val="false"/>
                <w:i w:val="false"/>
                <w:iCs w:val="false"/>
              </w:rPr>
              <w:t xml:space="preserve">Obligations flowed down under GCC 44.1; inspection on delivery; factory integrity baseline, </w:t>
            </w:r>
            <w:r>
              <w:rPr>
                <w:b w:val="false"/>
                <w:bCs w:val="false"/>
                <w:i w:val="false"/>
                <w:iCs w:val="false"/>
              </w:rPr>
              <w:t xml:space="preserve">Section </w:t>
            </w:r>
            <w:fldSimple w:instr="REF sec_6_1 \w \h">
              <w:r>
                <w:t xml:space="preserve">6.1</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Delivery and factory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ID.AM Asset management (A.5.9, A.5.12)</w:t>
            </w:r>
          </w:p>
        </w:tc>
        <w:tc>
          <w:tcPr>
            <w:tcW w:type="dxa" w:w="4440"/>
            <w:tcMar>
              <w:top w:type="dxa" w:w="60"/>
              <w:left w:type="dxa" w:w="100"/>
              <w:bottom w:type="dxa" w:w="60"/>
              <w:right w:type="dxa" w:w="100"/>
            </w:tcMar>
          </w:tcPr>
          <w:p>
            <w:pPr>
              <w:spacing w:after="0" w:before="0"/>
            </w:pPr>
            <w:r>
              <w:rPr>
                <w:b w:val="false"/>
                <w:bCs w:val="false"/>
                <w:i w:val="false"/>
                <w:iCs w:val="false"/>
              </w:rPr>
              <w:t xml:space="preserve">Hardware, software, certificate and key inventories; serialized blank stock; data classification, System Architecture Sections 6.10 and 10.2</w:t>
            </w:r>
          </w:p>
        </w:tc>
        <w:tc>
          <w:tcPr>
            <w:tcW w:type="dxa" w:w="2110"/>
            <w:tcMar>
              <w:top w:type="dxa" w:w="60"/>
              <w:left w:type="dxa" w:w="100"/>
              <w:bottom w:type="dxa" w:w="60"/>
              <w:right w:type="dxa" w:w="100"/>
            </w:tcMar>
          </w:tcPr>
          <w:p>
            <w:pPr>
              <w:spacing w:after="0" w:before="0"/>
            </w:pPr>
            <w:r>
              <w:rPr>
                <w:b w:val="false"/>
                <w:bCs w:val="false"/>
                <w:i w:val="false"/>
                <w:iCs w:val="false"/>
              </w:rPr>
              <w:t xml:space="preserve">Asset register</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ID.RA Risk assessment (A.5.7, A.8.8)</w:t>
            </w:r>
          </w:p>
        </w:tc>
        <w:tc>
          <w:tcPr>
            <w:tcW w:type="dxa" w:w="4440"/>
            <w:tcMar>
              <w:top w:type="dxa" w:w="60"/>
              <w:left w:type="dxa" w:w="100"/>
              <w:bottom w:type="dxa" w:w="60"/>
              <w:right w:type="dxa" w:w="100"/>
            </w:tcMar>
          </w:tcPr>
          <w:p>
            <w:pPr>
              <w:spacing w:after="0" w:before="0"/>
            </w:pPr>
            <w:r>
              <w:rPr>
                <w:b w:val="false"/>
                <w:bCs w:val="false"/>
                <w:i w:val="false"/>
                <w:iCs w:val="false"/>
              </w:rPr>
              <w:t xml:space="preserve">Risk register; threat modeling at design; vulnerability scanning, </w:t>
            </w:r>
            <w:r>
              <w:rPr>
                <w:b w:val="false"/>
                <w:bCs w:val="false"/>
                <w:i w:val="false"/>
                <w:iCs w:val="false"/>
              </w:rPr>
              <w:t xml:space="preserve">Sections 4 and </w:t>
            </w:r>
            <w:fldSimple w:instr="REF sec_6_1 \w \h">
              <w:r>
                <w:t xml:space="preserve">6.1</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Register; scan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ID.IM Improvement (A.5.27; Clause 10)</w:t>
            </w:r>
          </w:p>
        </w:tc>
        <w:tc>
          <w:tcPr>
            <w:tcW w:type="dxa" w:w="4440"/>
            <w:tcMar>
              <w:top w:type="dxa" w:w="60"/>
              <w:left w:type="dxa" w:w="100"/>
              <w:bottom w:type="dxa" w:w="60"/>
              <w:right w:type="dxa" w:w="100"/>
            </w:tcMar>
          </w:tcPr>
          <w:p>
            <w:pPr>
              <w:spacing w:after="0" w:before="0"/>
            </w:pPr>
            <w:r>
              <w:rPr>
                <w:b w:val="false"/>
                <w:bCs w:val="false"/>
                <w:i w:val="false"/>
                <w:iCs w:val="false"/>
              </w:rPr>
              <w:t xml:space="preserve">Findings of tests, exercises and incidents fed back into the register and procedures</w:t>
            </w:r>
          </w:p>
        </w:tc>
        <w:tc>
          <w:tcPr>
            <w:tcW w:type="dxa" w:w="2110"/>
            <w:tcMar>
              <w:top w:type="dxa" w:w="60"/>
              <w:left w:type="dxa" w:w="100"/>
              <w:bottom w:type="dxa" w:w="60"/>
              <w:right w:type="dxa" w:w="100"/>
            </w:tcMar>
          </w:tcPr>
          <w:p>
            <w:pPr>
              <w:spacing w:after="0" w:before="0"/>
            </w:pPr>
            <w:r>
              <w:rPr>
                <w:b w:val="false"/>
                <w:bCs w:val="false"/>
                <w:i w:val="false"/>
                <w:iCs w:val="false"/>
              </w:rPr>
              <w:t xml:space="preserve">Post-incident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PR.AA Identity and access control (A.5.15 to A.5.18, A.8.2, A.8.5)</w:t>
            </w:r>
          </w:p>
        </w:tc>
        <w:tc>
          <w:tcPr>
            <w:tcW w:type="dxa" w:w="4440"/>
            <w:tcMar>
              <w:top w:type="dxa" w:w="60"/>
              <w:left w:type="dxa" w:w="100"/>
              <w:bottom w:type="dxa" w:w="60"/>
              <w:right w:type="dxa" w:w="100"/>
            </w:tcMar>
          </w:tcPr>
          <w:p>
            <w:pPr>
              <w:spacing w:after="0" w:before="0"/>
            </w:pPr>
            <w:r>
              <w:rPr>
                <w:b w:val="false"/>
                <w:bCs w:val="false"/>
                <w:i w:val="false"/>
                <w:iCs w:val="false"/>
              </w:rPr>
              <w:t xml:space="preserve">Single sign-on, multi-factor authentication, privileged and just-in-time access, recertification, System Architecture Section 10.3</w:t>
            </w:r>
          </w:p>
        </w:tc>
        <w:tc>
          <w:tcPr>
            <w:tcW w:type="dxa" w:w="2110"/>
            <w:tcMar>
              <w:top w:type="dxa" w:w="60"/>
              <w:left w:type="dxa" w:w="100"/>
              <w:bottom w:type="dxa" w:w="60"/>
              <w:right w:type="dxa" w:w="100"/>
            </w:tcMar>
          </w:tcPr>
          <w:p>
            <w:pPr>
              <w:spacing w:after="0" w:before="0"/>
            </w:pPr>
            <w:r>
              <w:rPr>
                <w:b w:val="false"/>
                <w:bCs w:val="false"/>
                <w:i w:val="false"/>
                <w:iCs w:val="false"/>
              </w:rPr>
              <w:t xml:space="preserve">Pre-commissioning test 5; operational acceptance test 10</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PR.AT Awareness and training (A.6.3)</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modules for users, administrators and managers, </w:t>
            </w:r>
            <w:r>
              <w:rPr>
                <w:b w:val="false"/>
                <w:bCs w:val="false"/>
                <w:i w:val="false"/>
                <w:iCs w:val="false"/>
              </w:rPr>
              <w:t xml:space="preserve">Section </w:t>
            </w:r>
            <w:fldSimple w:instr="REF sec_9_4 \w \h">
              <w:r>
                <w:t xml:space="preserve">9.4</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Training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PR.DS Data security (A.8.11, A.8.13, A.8.24)</w:t>
            </w:r>
          </w:p>
        </w:tc>
        <w:tc>
          <w:tcPr>
            <w:tcW w:type="dxa" w:w="4440"/>
            <w:tcMar>
              <w:top w:type="dxa" w:w="60"/>
              <w:left w:type="dxa" w:w="100"/>
              <w:bottom w:type="dxa" w:w="60"/>
              <w:right w:type="dxa" w:w="100"/>
            </w:tcMar>
          </w:tcPr>
          <w:p>
            <w:pPr>
              <w:spacing w:after="0" w:before="0"/>
            </w:pPr>
            <w:r>
              <w:rPr>
                <w:b w:val="false"/>
                <w:bCs w:val="false"/>
                <w:i w:val="false"/>
                <w:iCs w:val="false"/>
              </w:rPr>
              <w:t xml:space="preserve">AES-256 at rest, TLS 1.2 or higher in transit, masking, minimization, encrypted immutable backups, System Architecture Section 10.2</w:t>
            </w:r>
          </w:p>
        </w:tc>
        <w:tc>
          <w:tcPr>
            <w:tcW w:type="dxa" w:w="2110"/>
            <w:tcMar>
              <w:top w:type="dxa" w:w="60"/>
              <w:left w:type="dxa" w:w="100"/>
              <w:bottom w:type="dxa" w:w="60"/>
              <w:right w:type="dxa" w:w="100"/>
            </w:tcMar>
          </w:tcPr>
          <w:p>
            <w:pPr>
              <w:spacing w:after="0" w:before="0"/>
            </w:pPr>
            <w:r>
              <w:rPr>
                <w:b w:val="false"/>
                <w:bCs w:val="false"/>
                <w:i w:val="false"/>
                <w:iCs w:val="false"/>
              </w:rPr>
              <w:t xml:space="preserve">Encryption validation</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PR.PS Platform security (A.8.7, A.8.9, A.8.25 to A.8.29)</w:t>
            </w:r>
          </w:p>
        </w:tc>
        <w:tc>
          <w:tcPr>
            <w:tcW w:type="dxa" w:w="4440"/>
            <w:tcMar>
              <w:top w:type="dxa" w:w="60"/>
              <w:left w:type="dxa" w:w="100"/>
              <w:bottom w:type="dxa" w:w="60"/>
              <w:right w:type="dxa" w:w="100"/>
            </w:tcMar>
          </w:tcPr>
          <w:p>
            <w:pPr>
              <w:spacing w:after="0" w:before="0"/>
            </w:pPr>
            <w:r>
              <w:rPr>
                <w:b w:val="false"/>
                <w:bCs w:val="false"/>
                <w:i w:val="false"/>
                <w:iCs w:val="false"/>
              </w:rPr>
              <w:t xml:space="preserve">Hardened CIS baselines, secure boot, patching, endpoint detection, secure development, System Architecture Sections 9.1 and 10.5</w:t>
            </w:r>
          </w:p>
        </w:tc>
        <w:tc>
          <w:tcPr>
            <w:tcW w:type="dxa" w:w="2110"/>
            <w:tcMar>
              <w:top w:type="dxa" w:w="60"/>
              <w:left w:type="dxa" w:w="100"/>
              <w:bottom w:type="dxa" w:w="60"/>
              <w:right w:type="dxa" w:w="100"/>
            </w:tcMar>
          </w:tcPr>
          <w:p>
            <w:pPr>
              <w:spacing w:after="0" w:before="0"/>
            </w:pPr>
            <w:r>
              <w:rPr>
                <w:b w:val="false"/>
                <w:bCs w:val="false"/>
                <w:i w:val="false"/>
                <w:iCs w:val="false"/>
              </w:rPr>
              <w:t xml:space="preserve">Hardening guide; release gate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PR.IR Infrastructure resilience (A.8.14, A.8.20, A.8.22)</w:t>
            </w:r>
          </w:p>
        </w:tc>
        <w:tc>
          <w:tcPr>
            <w:tcW w:type="dxa" w:w="4440"/>
            <w:tcMar>
              <w:top w:type="dxa" w:w="60"/>
              <w:left w:type="dxa" w:w="100"/>
              <w:bottom w:type="dxa" w:w="60"/>
              <w:right w:type="dxa" w:w="100"/>
            </w:tcMar>
          </w:tcPr>
          <w:p>
            <w:pPr>
              <w:spacing w:after="0" w:before="0"/>
            </w:pPr>
            <w:r>
              <w:rPr>
                <w:b w:val="false"/>
                <w:bCs w:val="false"/>
                <w:i w:val="false"/>
                <w:iCs w:val="false"/>
              </w:rPr>
              <w:t xml:space="preserve">Segregated zones, firewall pair, clustering, secondary environment, System Architecture Sections 9.2 and 9.3</w:t>
            </w:r>
          </w:p>
        </w:tc>
        <w:tc>
          <w:tcPr>
            <w:tcW w:type="dxa" w:w="2110"/>
            <w:tcMar>
              <w:top w:type="dxa" w:w="60"/>
              <w:left w:type="dxa" w:w="100"/>
              <w:bottom w:type="dxa" w:w="60"/>
              <w:right w:type="dxa" w:w="100"/>
            </w:tcMar>
          </w:tcPr>
          <w:p>
            <w:pPr>
              <w:spacing w:after="0" w:before="0"/>
            </w:pPr>
            <w:r>
              <w:rPr>
                <w:b w:val="false"/>
                <w:bCs w:val="false"/>
                <w:i w:val="false"/>
                <w:iCs w:val="false"/>
              </w:rPr>
              <w:t xml:space="preserve">Pre-commissioning tests 4 and 13</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DE.CM Continuous monitoring (A.8.15, A.8.16)</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information and event management at all hours, behavior analytics, physical events, System Architecture Section 10.7</w:t>
            </w:r>
          </w:p>
        </w:tc>
        <w:tc>
          <w:tcPr>
            <w:tcW w:type="dxa" w:w="2110"/>
            <w:tcMar>
              <w:top w:type="dxa" w:w="60"/>
              <w:left w:type="dxa" w:w="100"/>
              <w:bottom w:type="dxa" w:w="60"/>
              <w:right w:type="dxa" w:w="100"/>
            </w:tcMar>
          </w:tcPr>
          <w:p>
            <w:pPr>
              <w:spacing w:after="0" w:before="0"/>
            </w:pPr>
            <w:r>
              <w:rPr>
                <w:b w:val="false"/>
                <w:bCs w:val="false"/>
                <w:i w:val="false"/>
                <w:iCs w:val="false"/>
              </w:rPr>
              <w:t xml:space="preserve">Operational acceptance tests 10 and 12</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DE.AE Adverse event analysis (A.5.25)</w:t>
            </w:r>
          </w:p>
        </w:tc>
        <w:tc>
          <w:tcPr>
            <w:tcW w:type="dxa" w:w="4440"/>
            <w:tcMar>
              <w:top w:type="dxa" w:w="60"/>
              <w:left w:type="dxa" w:w="100"/>
              <w:bottom w:type="dxa" w:w="60"/>
              <w:right w:type="dxa" w:w="100"/>
            </w:tcMar>
          </w:tcPr>
          <w:p>
            <w:pPr>
              <w:spacing w:after="0" w:before="0"/>
            </w:pPr>
            <w:r>
              <w:rPr>
                <w:b w:val="false"/>
                <w:bCs w:val="false"/>
                <w:i w:val="false"/>
                <w:iCs w:val="false"/>
              </w:rPr>
              <w:t xml:space="preserve">Detection rules derived from the risk register; classification S1 to S4, </w:t>
            </w:r>
            <w:r>
              <w:rPr>
                <w:b w:val="false"/>
                <w:bCs w:val="false"/>
                <w:i w:val="false"/>
                <w:iCs w:val="false"/>
              </w:rPr>
              <w:t xml:space="preserve">Sections </w:t>
            </w:r>
            <w:fldSimple w:instr="REF sec_7_2 \w \h">
              <w:r>
                <w:t xml:space="preserve">7.2</w:t>
              </w:r>
            </w:fldSimple>
            <w:r>
              <w:rPr>
                <w:b w:val="false"/>
                <w:bCs w:val="false"/>
                <w:i w:val="false"/>
                <w:iCs w:val="false"/>
              </w:rPr>
              <w:t xml:space="preserve"> and 10</w:t>
            </w:r>
          </w:p>
        </w:tc>
        <w:tc>
          <w:tcPr>
            <w:tcW w:type="dxa" w:w="2110"/>
            <w:tcMar>
              <w:top w:type="dxa" w:w="60"/>
              <w:left w:type="dxa" w:w="100"/>
              <w:bottom w:type="dxa" w:w="60"/>
              <w:right w:type="dxa" w:w="100"/>
            </w:tcMar>
          </w:tcPr>
          <w:p>
            <w:pPr>
              <w:spacing w:after="0" w:before="0"/>
            </w:pPr>
            <w:r>
              <w:rPr>
                <w:b w:val="false"/>
                <w:bCs w:val="false"/>
                <w:i w:val="false"/>
                <w:iCs w:val="false"/>
              </w:rPr>
              <w:t xml:space="preserve">Exercise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RS.MA Incident management (A.5.24, A.5.26)</w:t>
            </w:r>
          </w:p>
        </w:tc>
        <w:tc>
          <w:tcPr>
            <w:tcW w:type="dxa" w:w="4440"/>
            <w:tcMar>
              <w:top w:type="dxa" w:w="60"/>
              <w:left w:type="dxa" w:w="100"/>
              <w:bottom w:type="dxa" w:w="60"/>
              <w:right w:type="dxa" w:w="100"/>
            </w:tcMar>
          </w:tcPr>
          <w:p>
            <w:pPr>
              <w:spacing w:after="0" w:before="0"/>
            </w:pPr>
            <w:r>
              <w:rPr>
                <w:b w:val="false"/>
                <w:bCs w:val="false"/>
                <w:i w:val="false"/>
                <w:iCs w:val="false"/>
              </w:rPr>
              <w:t xml:space="preserve">Incident Response Plan and escalation matrix, </w:t>
            </w:r>
            <w:r>
              <w:rPr>
                <w:b w:val="false"/>
                <w:bCs w:val="false"/>
                <w:i w:val="false"/>
                <w:iCs w:val="false"/>
              </w:rPr>
              <w:t xml:space="preserve">Section 7</w:t>
            </w:r>
          </w:p>
        </w:tc>
        <w:tc>
          <w:tcPr>
            <w:tcW w:type="dxa" w:w="2110"/>
            <w:tcMar>
              <w:top w:type="dxa" w:w="60"/>
              <w:left w:type="dxa" w:w="100"/>
              <w:bottom w:type="dxa" w:w="60"/>
              <w:right w:type="dxa" w:w="100"/>
            </w:tcMar>
          </w:tcPr>
          <w:p>
            <w:pPr>
              <w:spacing w:after="0" w:before="0"/>
            </w:pPr>
            <w:r>
              <w:rPr>
                <w:b w:val="false"/>
                <w:bCs w:val="false"/>
                <w:i w:val="false"/>
                <w:iCs w:val="false"/>
              </w:rPr>
              <w:t xml:space="preserve">Approved plan</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RS.AN Incident analysis (A.5.28)</w:t>
            </w:r>
          </w:p>
        </w:tc>
        <w:tc>
          <w:tcPr>
            <w:tcW w:type="dxa" w:w="4440"/>
            <w:tcMar>
              <w:top w:type="dxa" w:w="60"/>
              <w:left w:type="dxa" w:w="100"/>
              <w:bottom w:type="dxa" w:w="60"/>
              <w:right w:type="dxa" w:w="100"/>
            </w:tcMar>
          </w:tcPr>
          <w:p>
            <w:pPr>
              <w:spacing w:after="0" w:before="0"/>
            </w:pPr>
            <w:r>
              <w:rPr>
                <w:b w:val="false"/>
                <w:bCs w:val="false"/>
                <w:i w:val="false"/>
                <w:iCs w:val="false"/>
              </w:rPr>
              <w:t xml:space="preserve">Evidence preserved with chain of custody, System Architecture Section 10.7</w:t>
            </w:r>
          </w:p>
        </w:tc>
        <w:tc>
          <w:tcPr>
            <w:tcW w:type="dxa" w:w="2110"/>
            <w:tcMar>
              <w:top w:type="dxa" w:w="60"/>
              <w:left w:type="dxa" w:w="100"/>
              <w:bottom w:type="dxa" w:w="60"/>
              <w:right w:type="dxa" w:w="100"/>
            </w:tcMar>
          </w:tcPr>
          <w:p>
            <w:pPr>
              <w:spacing w:after="0" w:before="0"/>
            </w:pPr>
            <w:r>
              <w:rPr>
                <w:b w:val="false"/>
                <w:bCs w:val="false"/>
                <w:i w:val="false"/>
                <w:iCs w:val="false"/>
              </w:rPr>
              <w:t xml:space="preserve">Evidence log</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RS.CO Incident reporting (A.5.5, A.6.8)</w:t>
            </w:r>
          </w:p>
        </w:tc>
        <w:tc>
          <w:tcPr>
            <w:tcW w:type="dxa" w:w="4440"/>
            <w:tcMar>
              <w:top w:type="dxa" w:w="60"/>
              <w:left w:type="dxa" w:w="100"/>
              <w:bottom w:type="dxa" w:w="60"/>
              <w:right w:type="dxa" w:w="100"/>
            </w:tcMar>
          </w:tcPr>
          <w:p>
            <w:pPr>
              <w:spacing w:after="0" w:before="0"/>
            </w:pPr>
            <w:r>
              <w:rPr>
                <w:b w:val="false"/>
                <w:bCs w:val="false"/>
                <w:i w:val="false"/>
                <w:iCs w:val="false"/>
              </w:rPr>
              <w:t xml:space="preserve">Notification within 24 hours under SCC 19.7, </w:t>
            </w:r>
            <w:r>
              <w:rPr>
                <w:b w:val="false"/>
                <w:bCs w:val="false"/>
                <w:i w:val="false"/>
                <w:iCs w:val="false"/>
              </w:rPr>
              <w:t xml:space="preserve">Section </w:t>
            </w:r>
            <w:fldSimple w:instr="REF sec_7_4 \w \h">
              <w:r>
                <w:t xml:space="preserve">7.4</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Notification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RS.MI Incident mitigation (A.5.26)</w:t>
            </w:r>
          </w:p>
        </w:tc>
        <w:tc>
          <w:tcPr>
            <w:tcW w:type="dxa" w:w="4440"/>
            <w:tcMar>
              <w:top w:type="dxa" w:w="60"/>
              <w:left w:type="dxa" w:w="100"/>
              <w:bottom w:type="dxa" w:w="60"/>
              <w:right w:type="dxa" w:w="100"/>
            </w:tcMar>
          </w:tcPr>
          <w:p>
            <w:pPr>
              <w:spacing w:after="0" w:before="0"/>
            </w:pPr>
            <w:r>
              <w:rPr>
                <w:b w:val="false"/>
                <w:bCs w:val="false"/>
                <w:i w:val="false"/>
                <w:iCs w:val="false"/>
              </w:rPr>
              <w:t xml:space="preserve">Containment by category, </w:t>
            </w:r>
            <w:r>
              <w:rPr>
                <w:b w:val="false"/>
                <w:bCs w:val="false"/>
                <w:i w:val="false"/>
                <w:iCs w:val="false"/>
              </w:rPr>
              <w:t xml:space="preserve">Section </w:t>
            </w:r>
            <w:fldSimple w:instr="REF sec_7_3 \w \h">
              <w:r>
                <w:t xml:space="preserve">7.3</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Exercise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RC.RP Recovery plan execution (A.5.29, A.5.30)</w:t>
            </w:r>
          </w:p>
        </w:tc>
        <w:tc>
          <w:tcPr>
            <w:tcW w:type="dxa" w:w="4440"/>
            <w:tcMar>
              <w:top w:type="dxa" w:w="60"/>
              <w:left w:type="dxa" w:w="100"/>
              <w:bottom w:type="dxa" w:w="60"/>
              <w:right w:type="dxa" w:w="100"/>
            </w:tcMar>
          </w:tcPr>
          <w:p>
            <w:pPr>
              <w:spacing w:after="0" w:before="0"/>
            </w:pPr>
            <w:r>
              <w:rPr>
                <w:b w:val="false"/>
                <w:bCs w:val="false"/>
                <w:i w:val="false"/>
                <w:iCs w:val="false"/>
              </w:rPr>
              <w:t xml:space="preserve">Business Continuity Response Plan, </w:t>
            </w:r>
            <w:r>
              <w:rPr>
                <w:b w:val="false"/>
                <w:bCs w:val="false"/>
                <w:i w:val="false"/>
                <w:iCs w:val="false"/>
              </w:rPr>
              <w:t xml:space="preserve">Section 8</w:t>
            </w:r>
          </w:p>
        </w:tc>
        <w:tc>
          <w:tcPr>
            <w:tcW w:type="dxa" w:w="2110"/>
            <w:tcMar>
              <w:top w:type="dxa" w:w="60"/>
              <w:left w:type="dxa" w:w="100"/>
              <w:bottom w:type="dxa" w:w="60"/>
              <w:right w:type="dxa" w:w="100"/>
            </w:tcMar>
          </w:tcPr>
          <w:p>
            <w:pPr>
              <w:spacing w:after="0" w:before="0"/>
            </w:pPr>
            <w:r>
              <w:rPr>
                <w:b w:val="false"/>
                <w:bCs w:val="false"/>
                <w:i w:val="false"/>
                <w:iCs w:val="false"/>
              </w:rPr>
              <w:t xml:space="preserve">Disaster recovery test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RC.CO Recovery communication (A.5.29)</w:t>
            </w:r>
          </w:p>
        </w:tc>
        <w:tc>
          <w:tcPr>
            <w:tcW w:type="dxa" w:w="4440"/>
            <w:tcMar>
              <w:top w:type="dxa" w:w="60"/>
              <w:left w:type="dxa" w:w="100"/>
              <w:bottom w:type="dxa" w:w="60"/>
              <w:right w:type="dxa" w:w="100"/>
            </w:tcMar>
          </w:tcPr>
          <w:p>
            <w:pPr>
              <w:spacing w:after="0" w:before="0"/>
            </w:pPr>
            <w:r>
              <w:rPr>
                <w:b w:val="false"/>
                <w:bCs w:val="false"/>
                <w:i w:val="false"/>
                <w:iCs w:val="false"/>
              </w:rPr>
              <w:t xml:space="preserve">Communication during recovery, </w:t>
            </w:r>
            <w:r>
              <w:rPr>
                <w:b w:val="false"/>
                <w:bCs w:val="false"/>
                <w:i w:val="false"/>
                <w:iCs w:val="false"/>
              </w:rPr>
              <w:t xml:space="preserve">Section </w:t>
            </w:r>
            <w:fldSimple w:instr="REF sec_8_2 \w \h">
              <w:r>
                <w:t xml:space="preserve">8.2</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Disaster recovery test report</w:t>
            </w:r>
          </w:p>
        </w:tc>
      </w:tr>
    </w:tbl>
    <w:p>
      <w:pPr>
        <w:spacing w:after="140"/>
      </w:pPr>
    </w:p>
    <w:p>
      <w:r>
        <w:br w:type="page"/>
      </w:r>
    </w:p>
    <w:p>
      <w:r>
        <w:br w:type="page"/>
      </w:r>
    </w:p>
    <w:p>
      <w:pPr>
        <w:pStyle w:val="Heading1"/>
        <w:numPr>
          <w:ilvl w:val="0"/>
          <w:numId w:val="2"/>
        </w:numPr>
        <w:spacing w:after="140" w:before="240"/>
      </w:pPr>
      <w:r>
        <w:t xml:space="preserve">R</w:t>
      </w:r>
      <w:bookmarkStart w:name="sec_4" w:id="1"/>
      <w:r>
        <w:rPr>
          <w:b w:val="false"/>
          <w:bCs w:val="false"/>
          <w:i w:val="false"/>
          <w:iCs w:val="false"/>
        </w:rPr>
        <w:t xml:space="preserve">isk Assessment</w:t>
      </w:r>
      <w:bookmarkEnd w:id="1"/>
    </w:p>
    <w:p>
      <w:pPr>
        <w:pStyle w:val="Heading2"/>
        <w:numPr>
          <w:ilvl w:val="1"/>
          <w:numId w:val="2"/>
        </w:numPr>
        <w:spacing w:after="140" w:before="260"/>
      </w:pPr>
      <w:r>
        <w:t xml:space="preserve">M</w:t>
      </w:r>
      <w:bookmarkStart w:name="sec_4_1" w:id="1"/>
      <w:r>
        <w:rPr>
          <w:b w:val="false"/>
          <w:bCs w:val="false"/>
          <w:i w:val="false"/>
          <w:iCs w:val="false"/>
        </w:rPr>
        <w:t xml:space="preserve">ethod</w:t>
      </w:r>
      <w:bookmarkEnd w:id="1"/>
    </w:p>
    <w:p>
      <w:pPr>
        <w:spacing w:after="140" w:line="276"/>
      </w:pPr>
      <w:r>
        <w:rPr>
          <w:b w:val="false"/>
          <w:bCs w:val="false"/>
          <w:i w:val="false"/>
          <w:iCs w:val="false"/>
        </w:rPr>
        <w:t xml:space="preserve">Risk is managed to ISO/IEC 27005:2022.</w:t>
      </w:r>
    </w:p>
    <w:p>
      <w:pPr>
        <w:pStyle w:val="ListParagraph"/>
        <w:numPr>
          <w:ilvl w:val="0"/>
          <w:numId w:val="1"/>
        </w:numPr>
        <w:spacing w:after="60"/>
      </w:pPr>
      <w:r>
        <w:rPr>
          <w:b/>
          <w:bCs/>
          <w:i w:val="false"/>
          <w:iCs w:val="false"/>
        </w:rPr>
        <w:t xml:space="preserve">Identification.</w:t>
      </w:r>
      <w:r>
        <w:rPr>
          <w:b w:val="false"/>
          <w:bCs w:val="false"/>
          <w:i w:val="false"/>
          <w:iCs w:val="false"/>
        </w:rPr>
        <w:t xml:space="preserve"> Asset-based, for the signing key, citizen data, card stock, production integrity, the audit trail and availability; and event-based, for what an attacker would set out to achieve, such as a card produced for a person not entitled to one.</w:t>
      </w:r>
    </w:p>
    <w:p>
      <w:pPr>
        <w:pStyle w:val="ListParagraph"/>
        <w:numPr>
          <w:ilvl w:val="0"/>
          <w:numId w:val="1"/>
        </w:numPr>
        <w:spacing w:after="60"/>
      </w:pPr>
      <w:r>
        <w:rPr>
          <w:b/>
          <w:bCs/>
          <w:i w:val="false"/>
          <w:iCs w:val="false"/>
        </w:rPr>
        <w:t xml:space="preserve">Analysis.</w:t>
      </w:r>
      <w:r>
        <w:rPr>
          <w:b w:val="false"/>
          <w:bCs w:val="false"/>
          <w:i w:val="false"/>
          <w:iCs w:val="false"/>
        </w:rPr>
        <w:t xml:space="preserve"> Likelihood and impact rated on the scales in </w:t>
      </w:r>
      <w:r>
        <w:rPr>
          <w:b w:val="false"/>
          <w:bCs w:val="false"/>
          <w:i w:val="false"/>
          <w:iCs w:val="false"/>
        </w:rPr>
        <w:t xml:space="preserve">Section </w:t>
      </w:r>
      <w:fldSimple w:instr="REF sec_4_2 \w \h">
        <w:r>
          <w:t xml:space="preserve">4.2</w:t>
        </w:r>
      </w:fldSimple>
      <w:r>
        <w:rPr>
          <w:b w:val="false"/>
          <w:bCs w:val="false"/>
          <w:i w:val="false"/>
          <w:iCs w:val="false"/>
        </w:rPr>
        <w:t xml:space="preserve">, before and after treatment.</w:t>
      </w:r>
    </w:p>
    <w:p>
      <w:pPr>
        <w:pStyle w:val="ListParagraph"/>
        <w:numPr>
          <w:ilvl w:val="0"/>
          <w:numId w:val="1"/>
        </w:numPr>
        <w:spacing w:after="60"/>
      </w:pPr>
      <w:r>
        <w:rPr>
          <w:b/>
          <w:bCs/>
          <w:i w:val="false"/>
          <w:iCs w:val="false"/>
        </w:rPr>
        <w:t xml:space="preserve">Treatment.</w:t>
      </w:r>
      <w:r>
        <w:rPr>
          <w:b w:val="false"/>
          <w:bCs w:val="false"/>
          <w:i w:val="false"/>
          <w:iCs w:val="false"/>
        </w:rPr>
        <w:t xml:space="preserve"> Each risk modified, avoided, shared or retained, with its controls in </w:t>
      </w:r>
      <w:r>
        <w:rPr>
          <w:b w:val="false"/>
          <w:bCs w:val="false"/>
          <w:i w:val="false"/>
          <w:iCs w:val="false"/>
        </w:rPr>
        <w:t xml:space="preserve">Section </w:t>
      </w:r>
      <w:fldSimple w:instr="REF sec_5_2 \w \h">
        <w:r>
          <w:t xml:space="preserve">5.2</w:t>
        </w:r>
      </w:fldSimple>
      <w:r>
        <w:rPr>
          <w:b w:val="false"/>
          <w:bCs w:val="false"/>
          <w:i w:val="false"/>
          <w:iCs w:val="false"/>
        </w:rPr>
        <w:t xml:space="preserve">, recorded in the template in </w:t>
      </w:r>
      <w:r>
        <w:rPr>
          <w:b w:val="false"/>
          <w:bCs w:val="false"/>
          <w:i w:val="false"/>
          <w:iCs w:val="false"/>
        </w:rPr>
        <w:t xml:space="preserve">Section </w:t>
      </w:r>
      <w:fldSimple w:instr="REF sec_5_3 \w \h">
        <w:r>
          <w:t xml:space="preserve">5.3</w:t>
        </w:r>
      </w:fldSimple>
      <w:r>
        <w:rPr>
          <w:b w:val="false"/>
          <w:bCs w:val="false"/>
          <w:i w:val="false"/>
          <w:iCs w:val="false"/>
        </w:rPr>
        <w:t xml:space="preserve">.</w:t>
      </w:r>
    </w:p>
    <w:p>
      <w:pPr>
        <w:pStyle w:val="ListParagraph"/>
        <w:numPr>
          <w:ilvl w:val="0"/>
          <w:numId w:val="1"/>
        </w:numPr>
        <w:spacing w:after="60"/>
      </w:pPr>
      <w:r>
        <w:rPr>
          <w:b/>
          <w:bCs/>
          <w:i w:val="false"/>
          <w:iCs w:val="false"/>
        </w:rPr>
        <w:t xml:space="preserve">Acceptance.</w:t>
      </w:r>
      <w:r>
        <w:rPr>
          <w:b w:val="false"/>
          <w:bCs w:val="false"/>
          <w:i w:val="false"/>
          <w:iCs w:val="false"/>
        </w:rPr>
        <w:t xml:space="preserve"> Residual risk accepted by the authority set in </w:t>
      </w:r>
      <w:r>
        <w:rPr>
          <w:b w:val="false"/>
          <w:bCs w:val="false"/>
          <w:i w:val="false"/>
          <w:iCs w:val="false"/>
        </w:rPr>
        <w:t xml:space="preserve">Section </w:t>
      </w:r>
      <w:fldSimple w:instr="REF sec_4_2 \w \h">
        <w:r>
          <w:t xml:space="preserve">4.2</w:t>
        </w:r>
      </w:fldSimple>
      <w:r>
        <w:rPr>
          <w:b w:val="false"/>
          <w:bCs w:val="false"/>
          <w:i w:val="false"/>
          <w:iCs w:val="false"/>
        </w:rPr>
        <w:t xml:space="preserve">.</w:t>
      </w:r>
    </w:p>
    <w:p>
      <w:pPr>
        <w:pStyle w:val="ListParagraph"/>
        <w:numPr>
          <w:ilvl w:val="0"/>
          <w:numId w:val="1"/>
        </w:numPr>
        <w:spacing w:after="60"/>
      </w:pPr>
      <w:r>
        <w:rPr>
          <w:b/>
          <w:bCs/>
          <w:i w:val="false"/>
          <w:iCs w:val="false"/>
        </w:rPr>
        <w:t xml:space="preserve">Monitoring and review.</w:t>
      </w:r>
      <w:r>
        <w:rPr>
          <w:b w:val="false"/>
          <w:bCs w:val="false"/>
          <w:i w:val="false"/>
          <w:iCs w:val="false"/>
        </w:rPr>
        <w:t xml:space="preserve"> By the Security Working Group, at each gate in weeks 6, 17, 26 and 30, at handover, and quarterly in operation.</w:t>
      </w:r>
    </w:p>
    <w:p>
      <w:pPr>
        <w:spacing w:after="140" w:line="276"/>
      </w:pPr>
      <w:r>
        <w:rPr>
          <w:b w:val="false"/>
          <w:bCs w:val="false"/>
          <w:i w:val="false"/>
          <w:iCs w:val="false"/>
        </w:rPr>
        <w:t xml:space="preserve">The register in </w:t>
      </w:r>
      <w:r>
        <w:rPr>
          <w:b w:val="false"/>
          <w:bCs w:val="false"/>
          <w:i w:val="false"/>
          <w:iCs w:val="false"/>
        </w:rPr>
        <w:t xml:space="preserve">Section </w:t>
      </w:r>
      <w:fldSimple w:instr="REF sec_4_3 \w \h">
        <w:r>
          <w:t xml:space="preserve">4.3</w:t>
        </w:r>
      </w:fldSimple>
      <w:r>
        <w:rPr>
          <w:b w:val="false"/>
          <w:bCs w:val="false"/>
          <w:i w:val="false"/>
          <w:iCs w:val="false"/>
        </w:rPr>
        <w:t xml:space="preserve"> is the baseline adopted at mobilization, and it is refined by threat modeling during design.</w:t>
      </w:r>
    </w:p>
    <w:p>
      <w:pPr>
        <w:pStyle w:val="Heading2"/>
        <w:numPr>
          <w:ilvl w:val="1"/>
          <w:numId w:val="2"/>
        </w:numPr>
        <w:spacing w:after="140" w:before="260"/>
      </w:pPr>
      <w:r>
        <w:t xml:space="preserve">R</w:t>
      </w:r>
      <w:bookmarkStart w:name="sec_4_2" w:id="1"/>
      <w:r>
        <w:rPr>
          <w:b w:val="false"/>
          <w:bCs w:val="false"/>
          <w:i w:val="false"/>
          <w:iCs w:val="false"/>
        </w:rPr>
        <w:t xml:space="preserve">isk criteria and assessment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695"/>
        <w:gridCol w:w="5325"/>
      </w:tblGrid>
      <w:tr>
        <w:trPr>
          <w:tblHeader/>
        </w:trPr>
        <w:tc>
          <w:tcPr>
            <w:tcW w:type="dxa" w:w="3695"/>
            <w:shd w:fill="EDEDED" w:val="clear"/>
            <w:tcMar>
              <w:top w:type="dxa" w:w="60"/>
              <w:left w:type="dxa" w:w="100"/>
              <w:bottom w:type="dxa" w:w="60"/>
              <w:right w:type="dxa" w:w="100"/>
            </w:tcMar>
          </w:tcPr>
          <w:p>
            <w:pPr>
              <w:spacing w:after="0" w:before="0"/>
            </w:pPr>
            <w:r>
              <w:rPr>
                <w:b/>
                <w:bCs/>
                <w:i w:val="false"/>
                <w:iCs w:val="false"/>
              </w:rPr>
              <w:t xml:space="preserve">Likelihood</w:t>
            </w:r>
          </w:p>
        </w:tc>
        <w:tc>
          <w:tcPr>
            <w:tcW w:type="dxa" w:w="5325"/>
            <w:shd w:fill="EDEDED" w:val="clear"/>
            <w:tcMar>
              <w:top w:type="dxa" w:w="60"/>
              <w:left w:type="dxa" w:w="100"/>
              <w:bottom w:type="dxa" w:w="60"/>
              <w:right w:type="dxa" w:w="100"/>
            </w:tcMar>
          </w:tcPr>
          <w:p>
            <w:pPr>
              <w:spacing w:after="0" w:before="0"/>
            </w:pPr>
            <w:r>
              <w:rPr>
                <w:b/>
                <w:bCs/>
                <w:i w:val="false"/>
                <w:iCs w:val="false"/>
              </w:rPr>
              <w:t xml:space="preserve">Impact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1 Rare: not expected over the life of the System</w:t>
            </w:r>
          </w:p>
        </w:tc>
        <w:tc>
          <w:tcPr>
            <w:tcW w:type="dxa" w:w="5325"/>
            <w:tcMar>
              <w:top w:type="dxa" w:w="60"/>
              <w:left w:type="dxa" w:w="100"/>
              <w:bottom w:type="dxa" w:w="60"/>
              <w:right w:type="dxa" w:w="100"/>
            </w:tcMar>
          </w:tcPr>
          <w:p>
            <w:pPr>
              <w:spacing w:after="0" w:before="0"/>
            </w:pPr>
            <w:r>
              <w:rPr>
                <w:b w:val="false"/>
                <w:bCs w:val="false"/>
                <w:i w:val="false"/>
                <w:iCs w:val="false"/>
              </w:rPr>
              <w:t xml:space="preserve">1 Negligible: no data exposed, no production effect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2 Unlikely: needs a combination of failures or a capable attacker</w:t>
            </w:r>
          </w:p>
        </w:tc>
        <w:tc>
          <w:tcPr>
            <w:tcW w:type="dxa" w:w="5325"/>
            <w:tcMar>
              <w:top w:type="dxa" w:w="60"/>
              <w:left w:type="dxa" w:w="100"/>
              <w:bottom w:type="dxa" w:w="60"/>
              <w:right w:type="dxa" w:w="100"/>
            </w:tcMar>
          </w:tcPr>
          <w:p>
            <w:pPr>
              <w:spacing w:after="0" w:before="0"/>
            </w:pPr>
            <w:r>
              <w:rPr>
                <w:b w:val="false"/>
                <w:bCs w:val="false"/>
                <w:i w:val="false"/>
                <w:iCs w:val="false"/>
              </w:rPr>
              <w:t xml:space="preserve">2 Minor: error caught before dispatch; up to one shift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3 Possible: has occurred in comparable systems</w:t>
            </w:r>
          </w:p>
        </w:tc>
        <w:tc>
          <w:tcPr>
            <w:tcW w:type="dxa" w:w="5325"/>
            <w:tcMar>
              <w:top w:type="dxa" w:w="60"/>
              <w:left w:type="dxa" w:w="100"/>
              <w:bottom w:type="dxa" w:w="60"/>
              <w:right w:type="dxa" w:w="100"/>
            </w:tcMar>
          </w:tcPr>
          <w:p>
            <w:pPr>
              <w:spacing w:after="0" w:before="0"/>
            </w:pPr>
            <w:r>
              <w:rPr>
                <w:b w:val="false"/>
                <w:bCs w:val="false"/>
                <w:i w:val="false"/>
                <w:iCs w:val="false"/>
              </w:rPr>
              <w:t xml:space="preserve">3 Moderate: limited data exposure or incorrect cards recalled; up to one day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4 Likely: expected to be attempted during the life of the System</w:t>
            </w:r>
          </w:p>
        </w:tc>
        <w:tc>
          <w:tcPr>
            <w:tcW w:type="dxa" w:w="5325"/>
            <w:tcMar>
              <w:top w:type="dxa" w:w="60"/>
              <w:left w:type="dxa" w:w="100"/>
              <w:bottom w:type="dxa" w:w="60"/>
              <w:right w:type="dxa" w:w="100"/>
            </w:tcMar>
          </w:tcPr>
          <w:p>
            <w:pPr>
              <w:spacing w:after="0" w:before="0"/>
            </w:pPr>
            <w:r>
              <w:rPr>
                <w:b w:val="false"/>
                <w:bCs w:val="false"/>
                <w:i w:val="false"/>
                <w:iCs w:val="false"/>
              </w:rPr>
              <w:t xml:space="preserve">4 Major: data of many citizens exposed, blank stock lost, or several days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5 Almost certain: expected to occur repeatedly</w:t>
            </w:r>
          </w:p>
        </w:tc>
        <w:tc>
          <w:tcPr>
            <w:tcW w:type="dxa" w:w="5325"/>
            <w:tcMar>
              <w:top w:type="dxa" w:w="60"/>
              <w:left w:type="dxa" w:w="100"/>
              <w:bottom w:type="dxa" w:w="60"/>
              <w:right w:type="dxa" w:w="100"/>
            </w:tcMar>
          </w:tcPr>
          <w:p>
            <w:pPr>
              <w:spacing w:after="0" w:before="0"/>
            </w:pPr>
            <w:r>
              <w:rPr>
                <w:b w:val="false"/>
                <w:bCs w:val="false"/>
                <w:i w:val="false"/>
                <w:iCs w:val="false"/>
              </w:rPr>
              <w:t xml:space="preserve">5 Severe: a genuine card for a person not entitled to it, compromise of the signing key, or bulk exfiltration of biometric data</w:t>
            </w:r>
          </w:p>
        </w:tc>
      </w:tr>
    </w:tbl>
    <w:p>
      <w:pPr>
        <w:spacing w:after="140"/>
      </w:pPr>
    </w:p>
    <w:p>
      <w:pPr>
        <w:spacing w:after="140" w:line="276"/>
      </w:pPr>
      <w:r>
        <w:rPr>
          <w:b w:val="false"/>
          <w:bCs w:val="false"/>
          <w:i w:val="false"/>
          <w:iCs w:val="false"/>
        </w:rPr>
        <w:t xml:space="preserve">The rating is likelihood multiplied by impact.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92"/>
        <w:gridCol w:w="1037"/>
        <w:gridCol w:w="1239"/>
        <w:gridCol w:w="1297"/>
        <w:gridCol w:w="1326"/>
        <w:gridCol w:w="1729"/>
      </w:tblGrid>
      <w:tr>
        <w:trPr>
          <w:tblHeader/>
        </w:trPr>
        <w:tc>
          <w:tcPr>
            <w:tcW w:type="dxa" w:w="2392"/>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037"/>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239"/>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1297"/>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326"/>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729"/>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92"/>
            <w:tcMar>
              <w:top w:type="dxa" w:w="60"/>
              <w:left w:type="dxa" w:w="100"/>
              <w:bottom w:type="dxa" w:w="60"/>
              <w:right w:type="dxa" w:w="100"/>
            </w:tcMar>
          </w:tcPr>
          <w:p>
            <w:pPr>
              <w:spacing w:after="0" w:before="0"/>
            </w:pPr>
            <w:r>
              <w:rPr>
                <w:b/>
                <w:bCs/>
                <w:i w:val="false"/>
                <w:iCs w:val="false"/>
              </w:rPr>
              <w:t xml:space="preserve">5 Severe</w:t>
            </w:r>
          </w:p>
        </w:tc>
        <w:tc>
          <w:tcPr>
            <w:tcW w:type="dxa" w:w="1037"/>
            <w:tcMar>
              <w:top w:type="dxa" w:w="60"/>
              <w:left w:type="dxa" w:w="100"/>
              <w:bottom w:type="dxa" w:w="60"/>
              <w:right w:type="dxa" w:w="100"/>
            </w:tcMar>
          </w:tcPr>
          <w:p>
            <w:pPr>
              <w:spacing w:after="0" w:before="0"/>
            </w:pPr>
            <w:r>
              <w:rPr>
                <w:b w:val="false"/>
                <w:bCs w:val="false"/>
                <w:i w:val="false"/>
                <w:iCs w:val="false"/>
              </w:rPr>
              <w:t xml:space="preserve">5 Medium</w:t>
            </w:r>
          </w:p>
        </w:tc>
        <w:tc>
          <w:tcPr>
            <w:tcW w:type="dxa" w:w="1239"/>
            <w:tcMar>
              <w:top w:type="dxa" w:w="60"/>
              <w:left w:type="dxa" w:w="100"/>
              <w:bottom w:type="dxa" w:w="60"/>
              <w:right w:type="dxa" w:w="100"/>
            </w:tcMar>
          </w:tcPr>
          <w:p>
            <w:pPr>
              <w:spacing w:after="0" w:before="0"/>
            </w:pPr>
            <w:r>
              <w:rPr>
                <w:b w:val="false"/>
                <w:bCs w:val="false"/>
                <w:i w:val="false"/>
                <w:iCs w:val="false"/>
              </w:rPr>
              <w:t xml:space="preserve">10 High</w:t>
            </w:r>
          </w:p>
        </w:tc>
        <w:tc>
          <w:tcPr>
            <w:tcW w:type="dxa" w:w="1297"/>
            <w:tcMar>
              <w:top w:type="dxa" w:w="60"/>
              <w:left w:type="dxa" w:w="100"/>
              <w:bottom w:type="dxa" w:w="60"/>
              <w:right w:type="dxa" w:w="100"/>
            </w:tcMar>
          </w:tcPr>
          <w:p>
            <w:pPr>
              <w:spacing w:after="0" w:before="0"/>
            </w:pPr>
            <w:r>
              <w:rPr>
                <w:b w:val="false"/>
                <w:bCs w:val="false"/>
                <w:i w:val="false"/>
                <w:iCs w:val="false"/>
              </w:rPr>
              <w:t xml:space="preserve">15 High</w:t>
            </w:r>
          </w:p>
        </w:tc>
        <w:tc>
          <w:tcPr>
            <w:tcW w:type="dxa" w:w="1326"/>
            <w:tcMar>
              <w:top w:type="dxa" w:w="60"/>
              <w:left w:type="dxa" w:w="100"/>
              <w:bottom w:type="dxa" w:w="60"/>
              <w:right w:type="dxa" w:w="100"/>
            </w:tcMar>
          </w:tcPr>
          <w:p>
            <w:pPr>
              <w:spacing w:after="0" w:before="0"/>
            </w:pPr>
            <w:r>
              <w:rPr>
                <w:b w:val="false"/>
                <w:bCs w:val="false"/>
                <w:i w:val="false"/>
                <w:iCs w:val="false"/>
              </w:rPr>
              <w:t xml:space="preserve">20 Critical</w:t>
            </w:r>
          </w:p>
        </w:tc>
        <w:tc>
          <w:tcPr>
            <w:tcW w:type="dxa" w:w="1729"/>
            <w:tcMar>
              <w:top w:type="dxa" w:w="60"/>
              <w:left w:type="dxa" w:w="100"/>
              <w:bottom w:type="dxa" w:w="60"/>
              <w:right w:type="dxa" w:w="100"/>
            </w:tcMar>
          </w:tcPr>
          <w:p>
            <w:pPr>
              <w:spacing w:after="0" w:before="0"/>
            </w:pPr>
            <w:r>
              <w:rPr>
                <w:b w:val="false"/>
                <w:bCs w:val="false"/>
                <w:i w:val="false"/>
                <w:iCs w:val="false"/>
              </w:rPr>
              <w:t xml:space="preserve">25 Critical</w:t>
            </w:r>
          </w:p>
        </w:tc>
      </w:tr>
      <w:tr>
        <w:tc>
          <w:tcPr>
            <w:tcW w:type="dxa" w:w="2392"/>
            <w:tcMar>
              <w:top w:type="dxa" w:w="60"/>
              <w:left w:type="dxa" w:w="100"/>
              <w:bottom w:type="dxa" w:w="60"/>
              <w:right w:type="dxa" w:w="100"/>
            </w:tcMar>
          </w:tcPr>
          <w:p>
            <w:pPr>
              <w:spacing w:after="0" w:before="0"/>
            </w:pPr>
            <w:r>
              <w:rPr>
                <w:b/>
                <w:bCs/>
                <w:i w:val="false"/>
                <w:iCs w:val="false"/>
              </w:rPr>
              <w:t xml:space="preserve">4 Major</w:t>
            </w:r>
          </w:p>
        </w:tc>
        <w:tc>
          <w:tcPr>
            <w:tcW w:type="dxa" w:w="1037"/>
            <w:tcMar>
              <w:top w:type="dxa" w:w="60"/>
              <w:left w:type="dxa" w:w="100"/>
              <w:bottom w:type="dxa" w:w="60"/>
              <w:right w:type="dxa" w:w="100"/>
            </w:tcMar>
          </w:tcPr>
          <w:p>
            <w:pPr>
              <w:spacing w:after="0" w:before="0"/>
            </w:pPr>
            <w:r>
              <w:rPr>
                <w:b w:val="false"/>
                <w:bCs w:val="false"/>
                <w:i w:val="false"/>
                <w:iCs w:val="false"/>
              </w:rPr>
              <w:t xml:space="preserve">4 Low</w:t>
            </w:r>
          </w:p>
        </w:tc>
        <w:tc>
          <w:tcPr>
            <w:tcW w:type="dxa" w:w="1239"/>
            <w:tcMar>
              <w:top w:type="dxa" w:w="60"/>
              <w:left w:type="dxa" w:w="100"/>
              <w:bottom w:type="dxa" w:w="60"/>
              <w:right w:type="dxa" w:w="100"/>
            </w:tcMar>
          </w:tcPr>
          <w:p>
            <w:pPr>
              <w:spacing w:after="0" w:before="0"/>
            </w:pPr>
            <w:r>
              <w:rPr>
                <w:b w:val="false"/>
                <w:bCs w:val="false"/>
                <w:i w:val="false"/>
                <w:iCs w:val="false"/>
              </w:rPr>
              <w:t xml:space="preserve">8 Medium</w:t>
            </w:r>
          </w:p>
        </w:tc>
        <w:tc>
          <w:tcPr>
            <w:tcW w:type="dxa" w:w="1297"/>
            <w:tcMar>
              <w:top w:type="dxa" w:w="60"/>
              <w:left w:type="dxa" w:w="100"/>
              <w:bottom w:type="dxa" w:w="60"/>
              <w:right w:type="dxa" w:w="100"/>
            </w:tcMar>
          </w:tcPr>
          <w:p>
            <w:pPr>
              <w:spacing w:after="0" w:before="0"/>
            </w:pPr>
            <w:r>
              <w:rPr>
                <w:b w:val="false"/>
                <w:bCs w:val="false"/>
                <w:i w:val="false"/>
                <w:iCs w:val="false"/>
              </w:rPr>
              <w:t xml:space="preserve">12 High</w:t>
            </w:r>
          </w:p>
        </w:tc>
        <w:tc>
          <w:tcPr>
            <w:tcW w:type="dxa" w:w="1326"/>
            <w:tcMar>
              <w:top w:type="dxa" w:w="60"/>
              <w:left w:type="dxa" w:w="100"/>
              <w:bottom w:type="dxa" w:w="60"/>
              <w:right w:type="dxa" w:w="100"/>
            </w:tcMar>
          </w:tcPr>
          <w:p>
            <w:pPr>
              <w:spacing w:after="0" w:before="0"/>
            </w:pPr>
            <w:r>
              <w:rPr>
                <w:b w:val="false"/>
                <w:bCs w:val="false"/>
                <w:i w:val="false"/>
                <w:iCs w:val="false"/>
              </w:rPr>
              <w:t xml:space="preserve">16 High</w:t>
            </w:r>
          </w:p>
        </w:tc>
        <w:tc>
          <w:tcPr>
            <w:tcW w:type="dxa" w:w="1729"/>
            <w:tcMar>
              <w:top w:type="dxa" w:w="60"/>
              <w:left w:type="dxa" w:w="100"/>
              <w:bottom w:type="dxa" w:w="60"/>
              <w:right w:type="dxa" w:w="100"/>
            </w:tcMar>
          </w:tcPr>
          <w:p>
            <w:pPr>
              <w:spacing w:after="0" w:before="0"/>
            </w:pPr>
            <w:r>
              <w:rPr>
                <w:b w:val="false"/>
                <w:bCs w:val="false"/>
                <w:i w:val="false"/>
                <w:iCs w:val="false"/>
              </w:rPr>
              <w:t xml:space="preserve">20 Critical</w:t>
            </w:r>
          </w:p>
        </w:tc>
      </w:tr>
      <w:tr>
        <w:tc>
          <w:tcPr>
            <w:tcW w:type="dxa" w:w="2392"/>
            <w:tcMar>
              <w:top w:type="dxa" w:w="60"/>
              <w:left w:type="dxa" w:w="100"/>
              <w:bottom w:type="dxa" w:w="60"/>
              <w:right w:type="dxa" w:w="100"/>
            </w:tcMar>
          </w:tcPr>
          <w:p>
            <w:pPr>
              <w:spacing w:after="0" w:before="0"/>
            </w:pPr>
            <w:r>
              <w:rPr>
                <w:b/>
                <w:bCs/>
                <w:i w:val="false"/>
                <w:iCs w:val="false"/>
              </w:rPr>
              <w:t xml:space="preserve">3 Moderate</w:t>
            </w:r>
          </w:p>
        </w:tc>
        <w:tc>
          <w:tcPr>
            <w:tcW w:type="dxa" w:w="1037"/>
            <w:tcMar>
              <w:top w:type="dxa" w:w="60"/>
              <w:left w:type="dxa" w:w="100"/>
              <w:bottom w:type="dxa" w:w="60"/>
              <w:right w:type="dxa" w:w="100"/>
            </w:tcMar>
          </w:tcPr>
          <w:p>
            <w:pPr>
              <w:spacing w:after="0" w:before="0"/>
            </w:pPr>
            <w:r>
              <w:rPr>
                <w:b w:val="false"/>
                <w:bCs w:val="false"/>
                <w:i w:val="false"/>
                <w:iCs w:val="false"/>
              </w:rPr>
              <w:t xml:space="preserve">3 Low</w:t>
            </w:r>
          </w:p>
        </w:tc>
        <w:tc>
          <w:tcPr>
            <w:tcW w:type="dxa" w:w="1239"/>
            <w:tcMar>
              <w:top w:type="dxa" w:w="60"/>
              <w:left w:type="dxa" w:w="100"/>
              <w:bottom w:type="dxa" w:w="60"/>
              <w:right w:type="dxa" w:w="100"/>
            </w:tcMar>
          </w:tcPr>
          <w:p>
            <w:pPr>
              <w:spacing w:after="0" w:before="0"/>
            </w:pPr>
            <w:r>
              <w:rPr>
                <w:b w:val="false"/>
                <w:bCs w:val="false"/>
                <w:i w:val="false"/>
                <w:iCs w:val="false"/>
              </w:rPr>
              <w:t xml:space="preserve">6 Medium</w:t>
            </w:r>
          </w:p>
        </w:tc>
        <w:tc>
          <w:tcPr>
            <w:tcW w:type="dxa" w:w="1297"/>
            <w:tcMar>
              <w:top w:type="dxa" w:w="60"/>
              <w:left w:type="dxa" w:w="100"/>
              <w:bottom w:type="dxa" w:w="60"/>
              <w:right w:type="dxa" w:w="100"/>
            </w:tcMar>
          </w:tcPr>
          <w:p>
            <w:pPr>
              <w:spacing w:after="0" w:before="0"/>
            </w:pPr>
            <w:r>
              <w:rPr>
                <w:b w:val="false"/>
                <w:bCs w:val="false"/>
                <w:i w:val="false"/>
                <w:iCs w:val="false"/>
              </w:rPr>
              <w:t xml:space="preserve">9 Medium</w:t>
            </w:r>
          </w:p>
        </w:tc>
        <w:tc>
          <w:tcPr>
            <w:tcW w:type="dxa" w:w="1326"/>
            <w:tcMar>
              <w:top w:type="dxa" w:w="60"/>
              <w:left w:type="dxa" w:w="100"/>
              <w:bottom w:type="dxa" w:w="60"/>
              <w:right w:type="dxa" w:w="100"/>
            </w:tcMar>
          </w:tcPr>
          <w:p>
            <w:pPr>
              <w:spacing w:after="0" w:before="0"/>
            </w:pPr>
            <w:r>
              <w:rPr>
                <w:b w:val="false"/>
                <w:bCs w:val="false"/>
                <w:i w:val="false"/>
                <w:iCs w:val="false"/>
              </w:rPr>
              <w:t xml:space="preserve">12 High</w:t>
            </w:r>
          </w:p>
        </w:tc>
        <w:tc>
          <w:tcPr>
            <w:tcW w:type="dxa" w:w="1729"/>
            <w:tcMar>
              <w:top w:type="dxa" w:w="60"/>
              <w:left w:type="dxa" w:w="100"/>
              <w:bottom w:type="dxa" w:w="60"/>
              <w:right w:type="dxa" w:w="100"/>
            </w:tcMar>
          </w:tcPr>
          <w:p>
            <w:pPr>
              <w:spacing w:after="0" w:before="0"/>
            </w:pPr>
            <w:r>
              <w:rPr>
                <w:b w:val="false"/>
                <w:bCs w:val="false"/>
                <w:i w:val="false"/>
                <w:iCs w:val="false"/>
              </w:rPr>
              <w:t xml:space="preserve">15 High</w:t>
            </w:r>
          </w:p>
        </w:tc>
      </w:tr>
      <w:tr>
        <w:tc>
          <w:tcPr>
            <w:tcW w:type="dxa" w:w="2392"/>
            <w:tcMar>
              <w:top w:type="dxa" w:w="60"/>
              <w:left w:type="dxa" w:w="100"/>
              <w:bottom w:type="dxa" w:w="60"/>
              <w:right w:type="dxa" w:w="100"/>
            </w:tcMar>
          </w:tcPr>
          <w:p>
            <w:pPr>
              <w:spacing w:after="0" w:before="0"/>
            </w:pPr>
            <w:r>
              <w:rPr>
                <w:b/>
                <w:bCs/>
                <w:i w:val="false"/>
                <w:iCs w:val="false"/>
              </w:rPr>
              <w:t xml:space="preserve">2 Minor</w:t>
            </w:r>
          </w:p>
        </w:tc>
        <w:tc>
          <w:tcPr>
            <w:tcW w:type="dxa" w:w="1037"/>
            <w:tcMar>
              <w:top w:type="dxa" w:w="60"/>
              <w:left w:type="dxa" w:w="100"/>
              <w:bottom w:type="dxa" w:w="60"/>
              <w:right w:type="dxa" w:w="100"/>
            </w:tcMar>
          </w:tcPr>
          <w:p>
            <w:pPr>
              <w:spacing w:after="0" w:before="0"/>
            </w:pPr>
            <w:r>
              <w:rPr>
                <w:b w:val="false"/>
                <w:bCs w:val="false"/>
                <w:i w:val="false"/>
                <w:iCs w:val="false"/>
              </w:rPr>
              <w:t xml:space="preserve">2 Low</w:t>
            </w:r>
          </w:p>
        </w:tc>
        <w:tc>
          <w:tcPr>
            <w:tcW w:type="dxa" w:w="1239"/>
            <w:tcMar>
              <w:top w:type="dxa" w:w="60"/>
              <w:left w:type="dxa" w:w="100"/>
              <w:bottom w:type="dxa" w:w="60"/>
              <w:right w:type="dxa" w:w="100"/>
            </w:tcMar>
          </w:tcPr>
          <w:p>
            <w:pPr>
              <w:spacing w:after="0" w:before="0"/>
            </w:pPr>
            <w:r>
              <w:rPr>
                <w:b w:val="false"/>
                <w:bCs w:val="false"/>
                <w:i w:val="false"/>
                <w:iCs w:val="false"/>
              </w:rPr>
              <w:t xml:space="preserve">4 Low</w:t>
            </w:r>
          </w:p>
        </w:tc>
        <w:tc>
          <w:tcPr>
            <w:tcW w:type="dxa" w:w="1297"/>
            <w:tcMar>
              <w:top w:type="dxa" w:w="60"/>
              <w:left w:type="dxa" w:w="100"/>
              <w:bottom w:type="dxa" w:w="60"/>
              <w:right w:type="dxa" w:w="100"/>
            </w:tcMar>
          </w:tcPr>
          <w:p>
            <w:pPr>
              <w:spacing w:after="0" w:before="0"/>
            </w:pPr>
            <w:r>
              <w:rPr>
                <w:b w:val="false"/>
                <w:bCs w:val="false"/>
                <w:i w:val="false"/>
                <w:iCs w:val="false"/>
              </w:rPr>
              <w:t xml:space="preserve">6 Medium</w:t>
            </w:r>
          </w:p>
        </w:tc>
        <w:tc>
          <w:tcPr>
            <w:tcW w:type="dxa" w:w="1326"/>
            <w:tcMar>
              <w:top w:type="dxa" w:w="60"/>
              <w:left w:type="dxa" w:w="100"/>
              <w:bottom w:type="dxa" w:w="60"/>
              <w:right w:type="dxa" w:w="100"/>
            </w:tcMar>
          </w:tcPr>
          <w:p>
            <w:pPr>
              <w:spacing w:after="0" w:before="0"/>
            </w:pPr>
            <w:r>
              <w:rPr>
                <w:b w:val="false"/>
                <w:bCs w:val="false"/>
                <w:i w:val="false"/>
                <w:iCs w:val="false"/>
              </w:rPr>
              <w:t xml:space="preserve">8 Medium</w:t>
            </w:r>
          </w:p>
        </w:tc>
        <w:tc>
          <w:tcPr>
            <w:tcW w:type="dxa" w:w="1729"/>
            <w:tcMar>
              <w:top w:type="dxa" w:w="60"/>
              <w:left w:type="dxa" w:w="100"/>
              <w:bottom w:type="dxa" w:w="60"/>
              <w:right w:type="dxa" w:w="100"/>
            </w:tcMar>
          </w:tcPr>
          <w:p>
            <w:pPr>
              <w:spacing w:after="0" w:before="0"/>
            </w:pPr>
            <w:r>
              <w:rPr>
                <w:b w:val="false"/>
                <w:bCs w:val="false"/>
                <w:i w:val="false"/>
                <w:iCs w:val="false"/>
              </w:rPr>
              <w:t xml:space="preserve">10 High</w:t>
            </w:r>
          </w:p>
        </w:tc>
      </w:tr>
      <w:tr>
        <w:tc>
          <w:tcPr>
            <w:tcW w:type="dxa" w:w="2392"/>
            <w:tcMar>
              <w:top w:type="dxa" w:w="60"/>
              <w:left w:type="dxa" w:w="100"/>
              <w:bottom w:type="dxa" w:w="60"/>
              <w:right w:type="dxa" w:w="100"/>
            </w:tcMar>
          </w:tcPr>
          <w:p>
            <w:pPr>
              <w:spacing w:after="0" w:before="0"/>
            </w:pPr>
            <w:r>
              <w:rPr>
                <w:b/>
                <w:bCs/>
                <w:i w:val="false"/>
                <w:iCs w:val="false"/>
              </w:rPr>
              <w:t xml:space="preserve">1 Negligible</w:t>
            </w:r>
          </w:p>
        </w:tc>
        <w:tc>
          <w:tcPr>
            <w:tcW w:type="dxa" w:w="1037"/>
            <w:tcMar>
              <w:top w:type="dxa" w:w="60"/>
              <w:left w:type="dxa" w:w="100"/>
              <w:bottom w:type="dxa" w:w="60"/>
              <w:right w:type="dxa" w:w="100"/>
            </w:tcMar>
          </w:tcPr>
          <w:p>
            <w:pPr>
              <w:spacing w:after="0" w:before="0"/>
            </w:pPr>
            <w:r>
              <w:rPr>
                <w:b w:val="false"/>
                <w:bCs w:val="false"/>
                <w:i w:val="false"/>
                <w:iCs w:val="false"/>
              </w:rPr>
              <w:t xml:space="preserve">1 Low</w:t>
            </w:r>
          </w:p>
        </w:tc>
        <w:tc>
          <w:tcPr>
            <w:tcW w:type="dxa" w:w="1239"/>
            <w:tcMar>
              <w:top w:type="dxa" w:w="60"/>
              <w:left w:type="dxa" w:w="100"/>
              <w:bottom w:type="dxa" w:w="60"/>
              <w:right w:type="dxa" w:w="100"/>
            </w:tcMar>
          </w:tcPr>
          <w:p>
            <w:pPr>
              <w:spacing w:after="0" w:before="0"/>
            </w:pPr>
            <w:r>
              <w:rPr>
                <w:b w:val="false"/>
                <w:bCs w:val="false"/>
                <w:i w:val="false"/>
                <w:iCs w:val="false"/>
              </w:rPr>
              <w:t xml:space="preserve">2 Low</w:t>
            </w:r>
          </w:p>
        </w:tc>
        <w:tc>
          <w:tcPr>
            <w:tcW w:type="dxa" w:w="1297"/>
            <w:tcMar>
              <w:top w:type="dxa" w:w="60"/>
              <w:left w:type="dxa" w:w="100"/>
              <w:bottom w:type="dxa" w:w="60"/>
              <w:right w:type="dxa" w:w="100"/>
            </w:tcMar>
          </w:tcPr>
          <w:p>
            <w:pPr>
              <w:spacing w:after="0" w:before="0"/>
            </w:pPr>
            <w:r>
              <w:rPr>
                <w:b w:val="false"/>
                <w:bCs w:val="false"/>
                <w:i w:val="false"/>
                <w:iCs w:val="false"/>
              </w:rPr>
              <w:t xml:space="preserve">3 Low</w:t>
            </w:r>
          </w:p>
        </w:tc>
        <w:tc>
          <w:tcPr>
            <w:tcW w:type="dxa" w:w="1326"/>
            <w:tcMar>
              <w:top w:type="dxa" w:w="60"/>
              <w:left w:type="dxa" w:w="100"/>
              <w:bottom w:type="dxa" w:w="60"/>
              <w:right w:type="dxa" w:w="100"/>
            </w:tcMar>
          </w:tcPr>
          <w:p>
            <w:pPr>
              <w:spacing w:after="0" w:before="0"/>
            </w:pPr>
            <w:r>
              <w:rPr>
                <w:b w:val="false"/>
                <w:bCs w:val="false"/>
                <w:i w:val="false"/>
                <w:iCs w:val="false"/>
              </w:rPr>
              <w:t xml:space="preserve">4 Low</w:t>
            </w:r>
          </w:p>
        </w:tc>
        <w:tc>
          <w:tcPr>
            <w:tcW w:type="dxa" w:w="1729"/>
            <w:tcMar>
              <w:top w:type="dxa" w:w="60"/>
              <w:left w:type="dxa" w:w="100"/>
              <w:bottom w:type="dxa" w:w="60"/>
              <w:right w:type="dxa" w:w="100"/>
            </w:tcMar>
          </w:tcPr>
          <w:p>
            <w:pPr>
              <w:spacing w:after="0" w:before="0"/>
            </w:pPr>
            <w:r>
              <w:rPr>
                <w:b w:val="false"/>
                <w:bCs w:val="false"/>
                <w:i w:val="false"/>
                <w:iCs w:val="false"/>
              </w:rPr>
              <w:t xml:space="preserve">5 Medium</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4382"/>
        <w:gridCol w:w="2968"/>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Band and rating</w:t>
            </w:r>
          </w:p>
        </w:tc>
        <w:tc>
          <w:tcPr>
            <w:tcW w:type="dxa" w:w="4382"/>
            <w:shd w:fill="EDEDED" w:val="clear"/>
            <w:tcMar>
              <w:top w:type="dxa" w:w="60"/>
              <w:left w:type="dxa" w:w="100"/>
              <w:bottom w:type="dxa" w:w="60"/>
              <w:right w:type="dxa" w:w="100"/>
            </w:tcMar>
          </w:tcPr>
          <w:p>
            <w:pPr>
              <w:spacing w:after="0" w:before="0"/>
            </w:pPr>
            <w:r>
              <w:rPr>
                <w:b/>
                <w:bCs/>
                <w:i w:val="false"/>
                <w:iCs w:val="false"/>
              </w:rPr>
              <w:t xml:space="preserve">Treatment</w:t>
            </w:r>
          </w:p>
        </w:tc>
        <w:tc>
          <w:tcPr>
            <w:tcW w:type="dxa" w:w="2968"/>
            <w:shd w:fill="EDEDED" w:val="clear"/>
            <w:tcMar>
              <w:top w:type="dxa" w:w="60"/>
              <w:left w:type="dxa" w:w="100"/>
              <w:bottom w:type="dxa" w:w="60"/>
              <w:right w:type="dxa" w:w="100"/>
            </w:tcMar>
          </w:tcPr>
          <w:p>
            <w:pPr>
              <w:spacing w:after="0" w:before="0"/>
            </w:pPr>
            <w:r>
              <w:rPr>
                <w:b/>
                <w:bCs/>
                <w:i w:val="false"/>
                <w:iCs w:val="false"/>
              </w:rPr>
              <w:t xml:space="preserve">Residual risk accepted by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Critical, 20 to 25</w:t>
            </w:r>
          </w:p>
        </w:tc>
        <w:tc>
          <w:tcPr>
            <w:tcW w:type="dxa" w:w="4382"/>
            <w:tcMar>
              <w:top w:type="dxa" w:w="60"/>
              <w:left w:type="dxa" w:w="100"/>
              <w:bottom w:type="dxa" w:w="60"/>
              <w:right w:type="dxa" w:w="100"/>
            </w:tcMar>
          </w:tcPr>
          <w:p>
            <w:pPr>
              <w:spacing w:after="0" w:before="0"/>
            </w:pPr>
            <w:r>
              <w:rPr>
                <w:b w:val="false"/>
                <w:bCs w:val="false"/>
                <w:i w:val="false"/>
                <w:iCs w:val="false"/>
              </w:rPr>
              <w:t xml:space="preserve">The activity does not proceed until the risk is reduced</w:t>
            </w:r>
          </w:p>
        </w:tc>
        <w:tc>
          <w:tcPr>
            <w:tcW w:type="dxa" w:w="2968"/>
            <w:tcMar>
              <w:top w:type="dxa" w:w="60"/>
              <w:left w:type="dxa" w:w="100"/>
              <w:bottom w:type="dxa" w:w="60"/>
              <w:right w:type="dxa" w:w="100"/>
            </w:tcMar>
          </w:tcPr>
          <w:p>
            <w:pPr>
              <w:spacing w:after="0" w:before="0"/>
            </w:pPr>
            <w:r>
              <w:rPr>
                <w:b w:val="false"/>
                <w:bCs w:val="false"/>
                <w:i w:val="false"/>
                <w:iCs w:val="false"/>
              </w:rPr>
              <w:t xml:space="preserve">Not accepted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 10 to 16</w:t>
            </w:r>
          </w:p>
        </w:tc>
        <w:tc>
          <w:tcPr>
            <w:tcW w:type="dxa" w:w="4382"/>
            <w:tcMar>
              <w:top w:type="dxa" w:w="60"/>
              <w:left w:type="dxa" w:w="100"/>
              <w:bottom w:type="dxa" w:w="60"/>
              <w:right w:type="dxa" w:w="100"/>
            </w:tcMar>
          </w:tcPr>
          <w:p>
            <w:pPr>
              <w:spacing w:after="0" w:before="0"/>
            </w:pPr>
            <w:r>
              <w:rPr>
                <w:b w:val="false"/>
                <w:bCs w:val="false"/>
                <w:i w:val="false"/>
                <w:iCs w:val="false"/>
              </w:rPr>
              <w:t xml:space="preserve">Treated before the gate at which it is reviewed</w:t>
            </w:r>
          </w:p>
        </w:tc>
        <w:tc>
          <w:tcPr>
            <w:tcW w:type="dxa" w:w="2968"/>
            <w:tcMar>
              <w:top w:type="dxa" w:w="60"/>
              <w:left w:type="dxa" w:w="100"/>
              <w:bottom w:type="dxa" w:w="60"/>
              <w:right w:type="dxa" w:w="100"/>
            </w:tcMar>
          </w:tcPr>
          <w:p>
            <w:pPr>
              <w:spacing w:after="0" w:before="0"/>
            </w:pPr>
            <w:r>
              <w:rPr>
                <w:b w:val="false"/>
                <w:bCs w:val="false"/>
                <w:i w:val="false"/>
                <w:iCs w:val="false"/>
              </w:rPr>
              <w:t xml:space="preserve">Purchaser's Project Manager, time-bound with a treatment plan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Medium, 5 to 9</w:t>
            </w:r>
          </w:p>
        </w:tc>
        <w:tc>
          <w:tcPr>
            <w:tcW w:type="dxa" w:w="4382"/>
            <w:tcMar>
              <w:top w:type="dxa" w:w="60"/>
              <w:left w:type="dxa" w:w="100"/>
              <w:bottom w:type="dxa" w:w="60"/>
              <w:right w:type="dxa" w:w="100"/>
            </w:tcMar>
          </w:tcPr>
          <w:p>
            <w:pPr>
              <w:spacing w:after="0" w:before="0"/>
            </w:pPr>
            <w:r>
              <w:rPr>
                <w:b w:val="false"/>
                <w:bCs w:val="false"/>
                <w:i w:val="false"/>
                <w:iCs w:val="false"/>
              </w:rPr>
              <w:t xml:space="preserve">Treated where cost-effective, then monitored</w:t>
            </w:r>
          </w:p>
        </w:tc>
        <w:tc>
          <w:tcPr>
            <w:tcW w:type="dxa" w:w="296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 1 to 4</w:t>
            </w:r>
          </w:p>
        </w:tc>
        <w:tc>
          <w:tcPr>
            <w:tcW w:type="dxa" w:w="4382"/>
            <w:tcMar>
              <w:top w:type="dxa" w:w="60"/>
              <w:left w:type="dxa" w:w="100"/>
              <w:bottom w:type="dxa" w:w="60"/>
              <w:right w:type="dxa" w:w="100"/>
            </w:tcMar>
          </w:tcPr>
          <w:p>
            <w:pPr>
              <w:spacing w:after="0" w:before="0"/>
            </w:pPr>
            <w:r>
              <w:rPr>
                <w:b w:val="false"/>
                <w:bCs w:val="false"/>
                <w:i w:val="false"/>
                <w:iCs w:val="false"/>
              </w:rPr>
              <w:t xml:space="preserve">Monitored through routine controls</w:t>
            </w:r>
          </w:p>
        </w:tc>
        <w:tc>
          <w:tcPr>
            <w:tcW w:type="dxa" w:w="2968"/>
            <w:tcMar>
              <w:top w:type="dxa" w:w="60"/>
              <w:left w:type="dxa" w:w="100"/>
              <w:bottom w:type="dxa" w:w="60"/>
              <w:right w:type="dxa" w:w="100"/>
            </w:tcMar>
          </w:tcPr>
          <w:p>
            <w:pPr>
              <w:spacing w:after="0" w:before="0"/>
            </w:pPr>
            <w:r>
              <w:rPr>
                <w:b w:val="false"/>
                <w:bCs w:val="false"/>
                <w:i w:val="false"/>
                <w:iCs w:val="false"/>
              </w:rPr>
              <w:t xml:space="preserve">Risk owner</w:t>
            </w:r>
          </w:p>
        </w:tc>
      </w:tr>
    </w:tbl>
    <w:p>
      <w:pPr>
        <w:spacing w:after="140"/>
      </w:pPr>
    </w:p>
    <w:p>
      <w:pPr>
        <w:pStyle w:val="Heading2"/>
        <w:numPr>
          <w:ilvl w:val="1"/>
          <w:numId w:val="2"/>
        </w:numPr>
        <w:spacing w:after="140" w:before="260"/>
      </w:pPr>
      <w:r>
        <w:t xml:space="preserve">R</w:t>
      </w:r>
      <w:bookmarkStart w:name="sec_4_3" w:id="1"/>
      <w:r>
        <w:rPr>
          <w:b w:val="false"/>
          <w:bCs w:val="false"/>
          <w:i w:val="false"/>
          <w:iCs w:val="false"/>
        </w:rPr>
        <w:t xml:space="preserve">isk identification register</w:t>
      </w:r>
      <w:bookmarkEnd w:id="1"/>
    </w:p>
    <w:p>
      <w:pPr>
        <w:spacing w:after="140" w:line="276"/>
      </w:pPr>
      <w:r>
        <w:rPr>
          <w:b w:val="false"/>
          <w:bCs w:val="false"/>
          <w:i w:val="false"/>
          <w:iCs w:val="false"/>
        </w:rPr>
        <w:t xml:space="preserve">Ratings are likelihood × impact. Each risk is owned by the Supplier during implementation and by the NRB role shown from handover. Its controls are set out in </w:t>
      </w:r>
      <w:r>
        <w:rPr>
          <w:b w:val="false"/>
          <w:bCs w:val="false"/>
          <w:i w:val="false"/>
          <w:iCs w:val="false"/>
        </w:rPr>
        <w:t xml:space="preserve">Section </w:t>
      </w:r>
      <w:fldSimple w:instr="REF sec_5_2 \w \h">
        <w:r>
          <w:t xml:space="preserve">5.2</w:t>
        </w:r>
      </w:fldSimple>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366"/>
        <w:gridCol w:w="1166"/>
        <w:gridCol w:w="1130"/>
        <w:gridCol w:w="1358"/>
      </w:tblGrid>
      <w:tr>
        <w:trPr>
          <w:tblHeader/>
        </w:trPr>
        <w:tc>
          <w:tcPr>
            <w:tcW w:type="dxa" w:w="5366"/>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1166"/>
            <w:shd w:fill="EDEDED" w:val="clear"/>
            <w:tcMar>
              <w:top w:type="dxa" w:w="60"/>
              <w:left w:type="dxa" w:w="100"/>
              <w:bottom w:type="dxa" w:w="60"/>
              <w:right w:type="dxa" w:w="100"/>
            </w:tcMar>
          </w:tcPr>
          <w:p>
            <w:pPr>
              <w:spacing w:after="0" w:before="0"/>
            </w:pPr>
            <w:r>
              <w:rPr>
                <w:b/>
                <w:bCs/>
                <w:i w:val="false"/>
                <w:iCs w:val="false"/>
              </w:rPr>
              <w:t xml:space="preserve">Inherent</w:t>
            </w:r>
          </w:p>
        </w:tc>
        <w:tc>
          <w:tcPr>
            <w:tcW w:type="dxa" w:w="1130"/>
            <w:shd w:fill="EDEDED" w:val="clear"/>
            <w:tcMar>
              <w:top w:type="dxa" w:w="60"/>
              <w:left w:type="dxa" w:w="100"/>
              <w:bottom w:type="dxa" w:w="60"/>
              <w:right w:type="dxa" w:w="100"/>
            </w:tcMar>
          </w:tcPr>
          <w:p>
            <w:pPr>
              <w:spacing w:after="0" w:before="0"/>
            </w:pPr>
            <w:r>
              <w:rPr>
                <w:b/>
                <w:bCs/>
                <w:i w:val="false"/>
                <w:iCs w:val="false"/>
              </w:rPr>
              <w:t xml:space="preserve">Residual</w:t>
            </w:r>
          </w:p>
        </w:tc>
        <w:tc>
          <w:tcPr>
            <w:tcW w:type="dxa" w:w="1358"/>
            <w:shd w:fill="EDEDED" w:val="clear"/>
            <w:tcMar>
              <w:top w:type="dxa" w:w="60"/>
              <w:left w:type="dxa" w:w="100"/>
              <w:bottom w:type="dxa" w:w="60"/>
              <w:right w:type="dxa" w:w="100"/>
            </w:tcMar>
          </w:tcPr>
          <w:p>
            <w:pPr>
              <w:spacing w:after="0" w:before="0"/>
            </w:pPr>
            <w:r>
              <w:rPr>
                <w:b/>
                <w:bCs/>
                <w:i w:val="false"/>
                <w:iCs w:val="false"/>
              </w:rPr>
              <w:t xml:space="preserve">Owner from handover</w:t>
            </w:r>
          </w:p>
        </w:tc>
      </w:tr>
      <w:tr>
        <w:tc>
          <w:tcPr>
            <w:tcW w:type="dxa" w:w="5366"/>
            <w:tcMar>
              <w:top w:type="dxa" w:w="60"/>
              <w:left w:type="dxa" w:w="100"/>
              <w:bottom w:type="dxa" w:w="60"/>
              <w:right w:type="dxa" w:w="100"/>
            </w:tcMar>
          </w:tcPr>
          <w:p>
            <w:pPr>
              <w:spacing w:after="0" w:before="0"/>
            </w:pPr>
            <w:r>
              <w:rPr>
                <w:b/>
                <w:bCs/>
                <w:i w:val="false"/>
                <w:iCs w:val="false"/>
              </w:rPr>
              <w:t xml:space="preserve">C01</w:t>
            </w:r>
            <w:r>
              <w:rPr>
                <w:b w:val="false"/>
                <w:bCs w:val="false"/>
                <w:i w:val="false"/>
                <w:iCs w:val="false"/>
              </w:rPr>
              <w:t xml:space="preserve"> The Document Signer key is used outside an authorized production job, or extracted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C02</w:t>
            </w:r>
            <w:r>
              <w:rPr>
                <w:b w:val="false"/>
                <w:bCs w:val="false"/>
                <w:i w:val="false"/>
                <w:iCs w:val="false"/>
              </w:rPr>
              <w:t xml:space="preserve"> A card is produced for a person not entitled to it, by an insider acting alone or in collusion</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operations manager</w:t>
            </w:r>
          </w:p>
        </w:tc>
      </w:tr>
      <w:tr>
        <w:tc>
          <w:tcPr>
            <w:tcW w:type="dxa" w:w="5366"/>
            <w:tcMar>
              <w:top w:type="dxa" w:w="60"/>
              <w:left w:type="dxa" w:w="100"/>
              <w:bottom w:type="dxa" w:w="60"/>
              <w:right w:type="dxa" w:w="100"/>
            </w:tcMar>
          </w:tcPr>
          <w:p>
            <w:pPr>
              <w:spacing w:after="0" w:before="0"/>
            </w:pPr>
            <w:r>
              <w:rPr>
                <w:b/>
                <w:bCs/>
                <w:i w:val="false"/>
                <w:iCs w:val="false"/>
              </w:rPr>
              <w:t xml:space="preserve">C03</w:t>
            </w:r>
            <w:r>
              <w:rPr>
                <w:b w:val="false"/>
                <w:bCs w:val="false"/>
                <w:i w:val="false"/>
                <w:iCs w:val="false"/>
              </w:rPr>
              <w:t xml:space="preserve"> Blank, rejected or personalized cards are stolen or diverted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operations manager</w:t>
            </w:r>
          </w:p>
        </w:tc>
      </w:tr>
      <w:tr>
        <w:tc>
          <w:tcPr>
            <w:tcW w:type="dxa" w:w="5366"/>
            <w:tcMar>
              <w:top w:type="dxa" w:w="60"/>
              <w:left w:type="dxa" w:w="100"/>
              <w:bottom w:type="dxa" w:w="60"/>
              <w:right w:type="dxa" w:w="100"/>
            </w:tcMar>
          </w:tcPr>
          <w:p>
            <w:pPr>
              <w:spacing w:after="0" w:before="0"/>
            </w:pPr>
            <w:r>
              <w:rPr>
                <w:b/>
                <w:bCs/>
                <w:i w:val="false"/>
                <w:iCs w:val="false"/>
              </w:rPr>
              <w:t xml:space="preserve">C04</w:t>
            </w:r>
            <w:r>
              <w:rPr>
                <w:b w:val="false"/>
                <w:bCs w:val="false"/>
                <w:i w:val="false"/>
                <w:iCs w:val="false"/>
              </w:rPr>
              <w:t xml:space="preserve"> Citizen demographic or biometric data is exfiltrated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4 = 8,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C05</w:t>
            </w:r>
            <w:r>
              <w:rPr>
                <w:b w:val="false"/>
                <w:bCs w:val="false"/>
                <w:i w:val="false"/>
                <w:iCs w:val="false"/>
              </w:rPr>
              <w:t xml:space="preserve"> Ransomware encrypts or destroys the production estate</w:t>
            </w:r>
          </w:p>
        </w:tc>
        <w:tc>
          <w:tcPr>
            <w:tcW w:type="dxa" w:w="1166"/>
            <w:tcMar>
              <w:top w:type="dxa" w:w="60"/>
              <w:left w:type="dxa" w:w="100"/>
              <w:bottom w:type="dxa" w:w="60"/>
              <w:right w:type="dxa" w:w="100"/>
            </w:tcMar>
          </w:tcPr>
          <w:p>
            <w:pPr>
              <w:spacing w:after="0" w:before="0"/>
            </w:pPr>
            <w:r>
              <w:rPr>
                <w:b w:val="false"/>
                <w:bCs w:val="false"/>
                <w:i w:val="false"/>
                <w:iCs w:val="false"/>
              </w:rPr>
              <w:t xml:space="preserve">4 × 5 = 20, Critical</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C06</w:t>
            </w:r>
            <w:r>
              <w:rPr>
                <w:b w:val="false"/>
                <w:bCs w:val="false"/>
                <w:i w:val="false"/>
                <w:iCs w:val="false"/>
              </w:rPr>
              <w:t xml:space="preserve"> Administrator credentials are stolen through phishing or reuse</w:t>
            </w:r>
          </w:p>
        </w:tc>
        <w:tc>
          <w:tcPr>
            <w:tcW w:type="dxa" w:w="1166"/>
            <w:tcMar>
              <w:top w:type="dxa" w:w="60"/>
              <w:left w:type="dxa" w:w="100"/>
              <w:bottom w:type="dxa" w:w="60"/>
              <w:right w:type="dxa" w:w="100"/>
            </w:tcMar>
          </w:tcPr>
          <w:p>
            <w:pPr>
              <w:spacing w:after="0" w:before="0"/>
            </w:pPr>
            <w:r>
              <w:rPr>
                <w:b w:val="false"/>
                <w:bCs w:val="false"/>
                <w:i w:val="false"/>
                <w:iCs w:val="false"/>
              </w:rPr>
              <w:t xml:space="preserve">4 × 5 = 20, Critical</w:t>
            </w:r>
          </w:p>
        </w:tc>
        <w:tc>
          <w:tcPr>
            <w:tcW w:type="dxa" w:w="1130"/>
            <w:tcMar>
              <w:top w:type="dxa" w:w="60"/>
              <w:left w:type="dxa" w:w="100"/>
              <w:bottom w:type="dxa" w:w="60"/>
              <w:right w:type="dxa" w:w="100"/>
            </w:tcMar>
          </w:tcPr>
          <w:p>
            <w:pPr>
              <w:spacing w:after="0" w:before="0"/>
            </w:pPr>
            <w:r>
              <w:rPr>
                <w:b w:val="false"/>
                <w:bCs w:val="false"/>
                <w:i w:val="false"/>
                <w:iCs w:val="false"/>
              </w:rPr>
              <w:t xml:space="preserve">2 × 4 = 8,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C07</w:t>
            </w:r>
            <w:r>
              <w:rPr>
                <w:b w:val="false"/>
                <w:bCs w:val="false"/>
                <w:i w:val="false"/>
                <w:iCs w:val="false"/>
              </w:rPr>
              <w:t xml:space="preserve"> Forged requests or altered data on the NRIS interface</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C08</w:t>
            </w:r>
            <w:r>
              <w:rPr>
                <w:b w:val="false"/>
                <w:bCs w:val="false"/>
                <w:i w:val="false"/>
                <w:iCs w:val="false"/>
              </w:rPr>
              <w:t xml:space="preserve"> The personalization or mailing control systems are compromised, or left vulnerable by the manufacturer's patch schedule</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C09</w:t>
            </w:r>
            <w:r>
              <w:rPr>
                <w:b w:val="false"/>
                <w:bCs w:val="false"/>
                <w:i w:val="false"/>
                <w:iCs w:val="false"/>
              </w:rPr>
              <w:t xml:space="preserve"> Tampered or counterfeit hardware or software is delivered</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C10</w:t>
            </w:r>
            <w:r>
              <w:rPr>
                <w:b w:val="false"/>
                <w:bCs w:val="false"/>
                <w:i w:val="false"/>
                <w:iCs w:val="false"/>
              </w:rPr>
              <w:t xml:space="preserve"> A vulnerability in software written under the Contract is exploited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C11</w:t>
            </w:r>
            <w:r>
              <w:rPr>
                <w:b w:val="false"/>
                <w:bCs w:val="false"/>
                <w:i w:val="false"/>
                <w:iCs w:val="false"/>
              </w:rPr>
              <w:t xml:space="preserve"> Audit records are altered to conceal unauthorized activity</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C12</w:t>
            </w:r>
            <w:r>
              <w:rPr>
                <w:b w:val="false"/>
                <w:bCs w:val="false"/>
                <w:i w:val="false"/>
                <w:iCs w:val="false"/>
              </w:rPr>
              <w:t xml:space="preserve"> Remote support is abused, or citizen data leaves Malawi through support or factory work</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C13</w:t>
            </w:r>
            <w:r>
              <w:rPr>
                <w:b w:val="false"/>
                <w:bCs w:val="false"/>
                <w:i w:val="false"/>
                <w:iCs w:val="false"/>
              </w:rPr>
              <w:t xml:space="preserve"> The primary site or its storage is lost</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C14</w:t>
            </w:r>
            <w:r>
              <w:rPr>
                <w:b w:val="false"/>
                <w:bCs w:val="false"/>
                <w:i w:val="false"/>
                <w:iCs w:val="false"/>
              </w:rPr>
              <w:t xml:space="preserve"> The Document Signer certificate lapses, or its algorithm weakens within the ten year card life</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C15</w:t>
            </w:r>
            <w:r>
              <w:rPr>
                <w:b w:val="false"/>
                <w:bCs w:val="false"/>
                <w:i w:val="false"/>
                <w:iCs w:val="false"/>
              </w:rPr>
              <w:t xml:space="preserve"> Security alerts are missed, or NRB cannot operate the controls after handover</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bl>
    <w:p>
      <w:pPr>
        <w:spacing w:after="140"/>
      </w:pPr>
    </w:p>
    <w:p>
      <w:pPr>
        <w:pStyle w:val="Heading2"/>
        <w:numPr>
          <w:ilvl w:val="1"/>
          <w:numId w:val="2"/>
        </w:numPr>
        <w:spacing w:after="140" w:before="260"/>
      </w:pPr>
      <w:r>
        <w:t xml:space="preserve">R</w:t>
      </w:r>
      <w:bookmarkStart w:name="sec_4_4" w:id="1"/>
      <w:r>
        <w:rPr>
          <w:b w:val="false"/>
          <w:bCs w:val="false"/>
          <w:i w:val="false"/>
          <w:iCs w:val="false"/>
        </w:rPr>
        <w:t xml:space="preserve">isk position before and after treatment</w:t>
      </w:r>
      <w:bookmarkEnd w:id="1"/>
    </w:p>
    <w:p>
      <w:pPr>
        <w:spacing w:after="140" w:line="276"/>
      </w:pPr>
      <w:r>
        <w:rPr>
          <w:b/>
          <w:bCs/>
          <w:i w:val="false"/>
          <w:iCs w:val="false"/>
        </w:rPr>
        <w:t xml:space="preserve">Inherent.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99"/>
        <w:gridCol w:w="1031"/>
        <w:gridCol w:w="1120"/>
        <w:gridCol w:w="2393"/>
        <w:gridCol w:w="1037"/>
        <w:gridCol w:w="1040"/>
      </w:tblGrid>
      <w:tr>
        <w:trPr>
          <w:tblHeader/>
        </w:trPr>
        <w:tc>
          <w:tcPr>
            <w:tcW w:type="dxa" w:w="2399"/>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031"/>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2393"/>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037"/>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040"/>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99"/>
            <w:tcMar>
              <w:top w:type="dxa" w:w="60"/>
              <w:left w:type="dxa" w:w="100"/>
              <w:bottom w:type="dxa" w:w="60"/>
              <w:right w:type="dxa" w:w="100"/>
            </w:tcMar>
          </w:tcPr>
          <w:p>
            <w:pPr>
              <w:spacing w:after="0" w:before="0"/>
            </w:pPr>
            <w:r>
              <w:rPr>
                <w:b/>
                <w:bCs/>
                <w:i w:val="false"/>
                <w:iCs w:val="false"/>
              </w:rPr>
              <w:t xml:space="preserve">5 Severe</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C07, C09, C13</w:t>
            </w:r>
          </w:p>
        </w:tc>
        <w:tc>
          <w:tcPr>
            <w:tcW w:type="dxa" w:w="2393"/>
            <w:tcMar>
              <w:top w:type="dxa" w:w="60"/>
              <w:left w:type="dxa" w:w="100"/>
              <w:bottom w:type="dxa" w:w="60"/>
              <w:right w:type="dxa" w:w="100"/>
            </w:tcMar>
          </w:tcPr>
          <w:p>
            <w:pPr>
              <w:spacing w:after="0" w:before="0"/>
            </w:pPr>
            <w:r>
              <w:rPr>
                <w:b w:val="false"/>
                <w:bCs w:val="false"/>
                <w:i w:val="false"/>
                <w:iCs w:val="false"/>
              </w:rPr>
              <w:t xml:space="preserve">C01, C02, C04</w:t>
            </w:r>
          </w:p>
        </w:tc>
        <w:tc>
          <w:tcPr>
            <w:tcW w:type="dxa" w:w="1037"/>
            <w:tcMar>
              <w:top w:type="dxa" w:w="60"/>
              <w:left w:type="dxa" w:w="100"/>
              <w:bottom w:type="dxa" w:w="60"/>
              <w:right w:type="dxa" w:w="100"/>
            </w:tcMar>
          </w:tcPr>
          <w:p>
            <w:pPr>
              <w:spacing w:after="0" w:before="0"/>
            </w:pPr>
            <w:r>
              <w:rPr>
                <w:b w:val="false"/>
                <w:bCs w:val="false"/>
                <w:i w:val="false"/>
                <w:iCs w:val="false"/>
              </w:rPr>
              <w:t xml:space="preserve">C05, C06</w:t>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r>
        <w:tc>
          <w:tcPr>
            <w:tcW w:type="dxa" w:w="2399"/>
            <w:tcMar>
              <w:top w:type="dxa" w:w="60"/>
              <w:left w:type="dxa" w:w="100"/>
              <w:bottom w:type="dxa" w:w="60"/>
              <w:right w:type="dxa" w:w="100"/>
            </w:tcMar>
          </w:tcPr>
          <w:p>
            <w:pPr>
              <w:spacing w:after="0" w:before="0"/>
            </w:pPr>
            <w:r>
              <w:rPr>
                <w:b/>
                <w:bCs/>
                <w:i w:val="false"/>
                <w:iCs w:val="false"/>
              </w:rPr>
              <w:t xml:space="preserve">4 Major</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2393"/>
            <w:tcMar>
              <w:top w:type="dxa" w:w="60"/>
              <w:left w:type="dxa" w:w="100"/>
              <w:bottom w:type="dxa" w:w="60"/>
              <w:right w:type="dxa" w:w="100"/>
            </w:tcMar>
          </w:tcPr>
          <w:p>
            <w:pPr>
              <w:spacing w:after="0" w:before="0"/>
            </w:pPr>
            <w:r>
              <w:rPr>
                <w:b w:val="false"/>
                <w:bCs w:val="false"/>
                <w:i w:val="false"/>
                <w:iCs w:val="false"/>
              </w:rPr>
              <w:t xml:space="preserve">C03, C08, C10, C11, C12, C14, C15</w:t>
            </w:r>
          </w:p>
        </w:tc>
        <w:tc>
          <w:tcPr>
            <w:tcW w:type="dxa" w:w="1037"/>
            <w:tcMar>
              <w:top w:type="dxa" w:w="60"/>
              <w:left w:type="dxa" w:w="100"/>
              <w:bottom w:type="dxa" w:w="60"/>
              <w:right w:type="dxa" w:w="100"/>
            </w:tcMar>
          </w:tcPr>
          <w:p>
            <w:pPr>
              <w:spacing w:after="0" w:before="0"/>
            </w:pPr>
            <w:r>
              <w:rPr>
                <w:b w:val="false"/>
                <w:bCs w:val="false"/>
                <w:i w:val="false"/>
                <w:iCs w:val="false"/>
              </w:rPr>
              <w:t xml:space="preserve"/>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r>
        <w:tc>
          <w:tcPr>
            <w:tcW w:type="dxa" w:w="2399"/>
            <w:tcMar>
              <w:top w:type="dxa" w:w="60"/>
              <w:left w:type="dxa" w:w="100"/>
              <w:bottom w:type="dxa" w:w="60"/>
              <w:right w:type="dxa" w:w="100"/>
            </w:tcMar>
          </w:tcPr>
          <w:p>
            <w:pPr>
              <w:spacing w:after="0" w:before="0"/>
            </w:pPr>
            <w:r>
              <w:rPr>
                <w:b/>
                <w:bCs/>
                <w:i w:val="false"/>
                <w:iCs w:val="false"/>
              </w:rPr>
              <w:t xml:space="preserve">3 Moderate</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2393"/>
            <w:tcMar>
              <w:top w:type="dxa" w:w="60"/>
              <w:left w:type="dxa" w:w="100"/>
              <w:bottom w:type="dxa" w:w="60"/>
              <w:right w:type="dxa" w:w="100"/>
            </w:tcMar>
          </w:tcPr>
          <w:p>
            <w:pPr>
              <w:spacing w:after="0" w:before="0"/>
            </w:pPr>
            <w:r>
              <w:rPr>
                <w:b w:val="false"/>
                <w:bCs w:val="false"/>
                <w:i w:val="false"/>
                <w:iCs w:val="false"/>
              </w:rPr>
              <w:t xml:space="preserve"/>
            </w:r>
          </w:p>
        </w:tc>
        <w:tc>
          <w:tcPr>
            <w:tcW w:type="dxa" w:w="1037"/>
            <w:tcMar>
              <w:top w:type="dxa" w:w="60"/>
              <w:left w:type="dxa" w:w="100"/>
              <w:bottom w:type="dxa" w:w="60"/>
              <w:right w:type="dxa" w:w="100"/>
            </w:tcMar>
          </w:tcPr>
          <w:p>
            <w:pPr>
              <w:spacing w:after="0" w:before="0"/>
            </w:pPr>
            <w:r>
              <w:rPr>
                <w:b w:val="false"/>
                <w:bCs w:val="false"/>
                <w:i w:val="false"/>
                <w:iCs w:val="false"/>
              </w:rPr>
              <w:t xml:space="preserve"/>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bCs/>
          <w:i w:val="false"/>
          <w:iCs w:val="false"/>
        </w:rPr>
        <w:t xml:space="preserve">Residual.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60"/>
        <w:gridCol w:w="1759"/>
        <w:gridCol w:w="1733"/>
        <w:gridCol w:w="1120"/>
        <w:gridCol w:w="1022"/>
        <w:gridCol w:w="1026"/>
      </w:tblGrid>
      <w:tr>
        <w:trPr>
          <w:tblHeader/>
        </w:trPr>
        <w:tc>
          <w:tcPr>
            <w:tcW w:type="dxa" w:w="2360"/>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759"/>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733"/>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022"/>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026"/>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60"/>
            <w:tcMar>
              <w:top w:type="dxa" w:w="60"/>
              <w:left w:type="dxa" w:w="100"/>
              <w:bottom w:type="dxa" w:w="60"/>
              <w:right w:type="dxa" w:w="100"/>
            </w:tcMar>
          </w:tcPr>
          <w:p>
            <w:pPr>
              <w:spacing w:after="0" w:before="0"/>
            </w:pPr>
            <w:r>
              <w:rPr>
                <w:b/>
                <w:bCs/>
                <w:i w:val="false"/>
                <w:iCs w:val="false"/>
              </w:rPr>
              <w:t xml:space="preserve">5 Severe</w:t>
            </w:r>
          </w:p>
        </w:tc>
        <w:tc>
          <w:tcPr>
            <w:tcW w:type="dxa" w:w="1759"/>
            <w:tcMar>
              <w:top w:type="dxa" w:w="60"/>
              <w:left w:type="dxa" w:w="100"/>
              <w:bottom w:type="dxa" w:w="60"/>
              <w:right w:type="dxa" w:w="100"/>
            </w:tcMar>
          </w:tcPr>
          <w:p>
            <w:pPr>
              <w:spacing w:after="0" w:before="0"/>
            </w:pPr>
            <w:r>
              <w:rPr>
                <w:b w:val="false"/>
                <w:bCs w:val="false"/>
                <w:i w:val="false"/>
                <w:iCs w:val="false"/>
              </w:rPr>
              <w:t xml:space="preserve">C01, C02, C07</w:t>
            </w:r>
          </w:p>
        </w:tc>
        <w:tc>
          <w:tcPr>
            <w:tcW w:type="dxa" w:w="1733"/>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r>
        <w:tc>
          <w:tcPr>
            <w:tcW w:type="dxa" w:w="2360"/>
            <w:tcMar>
              <w:top w:type="dxa" w:w="60"/>
              <w:left w:type="dxa" w:w="100"/>
              <w:bottom w:type="dxa" w:w="60"/>
              <w:right w:type="dxa" w:w="100"/>
            </w:tcMar>
          </w:tcPr>
          <w:p>
            <w:pPr>
              <w:spacing w:after="0" w:before="0"/>
            </w:pPr>
            <w:r>
              <w:rPr>
                <w:b/>
                <w:bCs/>
                <w:i w:val="false"/>
                <w:iCs w:val="false"/>
              </w:rPr>
              <w:t xml:space="preserve">4 Major</w:t>
            </w:r>
          </w:p>
        </w:tc>
        <w:tc>
          <w:tcPr>
            <w:tcW w:type="dxa" w:w="1759"/>
            <w:tcMar>
              <w:top w:type="dxa" w:w="60"/>
              <w:left w:type="dxa" w:w="100"/>
              <w:bottom w:type="dxa" w:w="60"/>
              <w:right w:type="dxa" w:w="100"/>
            </w:tcMar>
          </w:tcPr>
          <w:p>
            <w:pPr>
              <w:spacing w:after="0" w:before="0"/>
            </w:pPr>
            <w:r>
              <w:rPr>
                <w:b w:val="false"/>
                <w:bCs w:val="false"/>
                <w:i w:val="false"/>
                <w:iCs w:val="false"/>
              </w:rPr>
              <w:t xml:space="preserve">C03, C09, C11, C12, C14</w:t>
            </w:r>
          </w:p>
        </w:tc>
        <w:tc>
          <w:tcPr>
            <w:tcW w:type="dxa" w:w="1733"/>
            <w:tcMar>
              <w:top w:type="dxa" w:w="60"/>
              <w:left w:type="dxa" w:w="100"/>
              <w:bottom w:type="dxa" w:w="60"/>
              <w:right w:type="dxa" w:w="100"/>
            </w:tcMar>
          </w:tcPr>
          <w:p>
            <w:pPr>
              <w:spacing w:after="0" w:before="0"/>
            </w:pPr>
            <w:r>
              <w:rPr>
                <w:b w:val="false"/>
                <w:bCs w:val="false"/>
                <w:i w:val="false"/>
                <w:iCs w:val="false"/>
              </w:rPr>
              <w:t xml:space="preserve">C04, C06</w:t>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r>
        <w:tc>
          <w:tcPr>
            <w:tcW w:type="dxa" w:w="2360"/>
            <w:tcMar>
              <w:top w:type="dxa" w:w="60"/>
              <w:left w:type="dxa" w:w="100"/>
              <w:bottom w:type="dxa" w:w="60"/>
              <w:right w:type="dxa" w:w="100"/>
            </w:tcMar>
          </w:tcPr>
          <w:p>
            <w:pPr>
              <w:spacing w:after="0" w:before="0"/>
            </w:pPr>
            <w:r>
              <w:rPr>
                <w:b/>
                <w:bCs/>
                <w:i w:val="false"/>
                <w:iCs w:val="false"/>
              </w:rPr>
              <w:t xml:space="preserve">3 Moderate</w:t>
            </w:r>
          </w:p>
        </w:tc>
        <w:tc>
          <w:tcPr>
            <w:tcW w:type="dxa" w:w="1759"/>
            <w:tcMar>
              <w:top w:type="dxa" w:w="60"/>
              <w:left w:type="dxa" w:w="100"/>
              <w:bottom w:type="dxa" w:w="60"/>
              <w:right w:type="dxa" w:w="100"/>
            </w:tcMar>
          </w:tcPr>
          <w:p>
            <w:pPr>
              <w:spacing w:after="0" w:before="0"/>
            </w:pPr>
            <w:r>
              <w:rPr>
                <w:b w:val="false"/>
                <w:bCs w:val="false"/>
                <w:i w:val="false"/>
                <w:iCs w:val="false"/>
              </w:rPr>
              <w:t xml:space="preserve"/>
            </w:r>
          </w:p>
        </w:tc>
        <w:tc>
          <w:tcPr>
            <w:tcW w:type="dxa" w:w="1733"/>
            <w:tcMar>
              <w:top w:type="dxa" w:w="60"/>
              <w:left w:type="dxa" w:w="100"/>
              <w:bottom w:type="dxa" w:w="60"/>
              <w:right w:type="dxa" w:w="100"/>
            </w:tcMar>
          </w:tcPr>
          <w:p>
            <w:pPr>
              <w:spacing w:after="0" w:before="0"/>
            </w:pPr>
            <w:r>
              <w:rPr>
                <w:b w:val="false"/>
                <w:bCs w:val="false"/>
                <w:i w:val="false"/>
                <w:iCs w:val="false"/>
              </w:rPr>
              <w:t xml:space="preserve">C05, C08, C10, C13, C15</w:t>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val="false"/>
          <w:bCs w:val="false"/>
          <w:i w:val="false"/>
          <w:iCs w:val="false"/>
        </w:rPr>
        <w:t xml:space="preserve">Treatment moves all 15 risks out of the High and Critical bands: 2 Critical and 13 High before treatment become 10 Medium and 5 Low after it. The three risks that remain at impact 5, C01, C02 and C07, cannot be made less severe, only less likely and quicker to detect. Each has a dedicated detection rule and is reviewed at every Security Working Group.</w:t>
      </w:r>
    </w:p>
    <w:p>
      <w:r>
        <w:br w:type="page"/>
      </w:r>
    </w:p>
    <w:p>
      <w:r>
        <w:br w:type="page"/>
      </w:r>
    </w:p>
    <w:p>
      <w:pPr>
        <w:pStyle w:val="Heading1"/>
        <w:numPr>
          <w:ilvl w:val="0"/>
          <w:numId w:val="2"/>
        </w:numPr>
        <w:spacing w:after="140" w:before="240"/>
      </w:pPr>
      <w:r>
        <w:t xml:space="preserve">M</w:t>
      </w:r>
      <w:bookmarkStart w:name="sec_5" w:id="1"/>
      <w:r>
        <w:rPr>
          <w:b w:val="false"/>
          <w:bCs w:val="false"/>
          <w:i w:val="false"/>
          <w:iCs w:val="false"/>
        </w:rPr>
        <w:t xml:space="preserve">itigation and Control Strategy</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ontrol strategy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Rule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Remove the risk before controlling it</w:t>
            </w:r>
          </w:p>
        </w:tc>
        <w:tc>
          <w:tcPr>
            <w:tcW w:type="dxa" w:w="7240"/>
            <w:tcMar>
              <w:top w:type="dxa" w:w="60"/>
              <w:left w:type="dxa" w:w="100"/>
              <w:bottom w:type="dxa" w:w="60"/>
              <w:right w:type="dxa" w:w="100"/>
            </w:tcMar>
          </w:tcPr>
          <w:p>
            <w:pPr>
              <w:spacing w:after="0" w:before="0"/>
            </w:pPr>
            <w:r>
              <w:rPr>
                <w:b w:val="false"/>
                <w:bCs w:val="false"/>
                <w:i w:val="false"/>
                <w:iCs w:val="false"/>
              </w:rPr>
              <w:t xml:space="preserve">No citizen data at the factory or in development, no internet-facing service at go-live, no copy of the signing key outside the modules, no standing remote access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Three layers for every severe risk</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risk of impact 5 has a preventive control, a detective control that makes it visible within the shift, and a corrective control that limits the outcome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Engineered before administrative</w:t>
            </w:r>
          </w:p>
        </w:tc>
        <w:tc>
          <w:tcPr>
            <w:tcW w:type="dxa" w:w="7240"/>
            <w:tcMar>
              <w:top w:type="dxa" w:w="60"/>
              <w:left w:type="dxa" w:w="100"/>
              <w:bottom w:type="dxa" w:w="60"/>
              <w:right w:type="dxa" w:w="100"/>
            </w:tcMar>
          </w:tcPr>
          <w:p>
            <w:pPr>
              <w:spacing w:after="0" w:before="0"/>
            </w:pPr>
            <w:r>
              <w:rPr>
                <w:b w:val="false"/>
                <w:bCs w:val="false"/>
                <w:i w:val="false"/>
                <w:iCs w:val="false"/>
              </w:rPr>
              <w:t xml:space="preserve">A control the System enforces, such as a release that requires a second role, is preferred to one that relies on a procedure being followed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Every control verified</w:t>
            </w:r>
          </w:p>
        </w:tc>
        <w:tc>
          <w:tcPr>
            <w:tcW w:type="dxa" w:w="7240"/>
            <w:tcMar>
              <w:top w:type="dxa" w:w="60"/>
              <w:left w:type="dxa" w:w="100"/>
              <w:bottom w:type="dxa" w:w="60"/>
              <w:right w:type="dxa" w:w="100"/>
            </w:tcMar>
          </w:tcPr>
          <w:p>
            <w:pPr>
              <w:spacing w:after="0" w:before="0"/>
            </w:pPr>
            <w:r>
              <w:rPr>
                <w:b w:val="false"/>
                <w:bCs w:val="false"/>
                <w:i w:val="false"/>
                <w:iCs w:val="false"/>
              </w:rPr>
              <w:t xml:space="preserve">A control counts toward residual risk only once a test has shown it works, under </w:t>
            </w:r>
            <w:r>
              <w:rPr>
                <w:b w:val="false"/>
                <w:bCs w:val="false"/>
                <w:i w:val="false"/>
                <w:iCs w:val="false"/>
              </w:rPr>
              <w:t xml:space="preserve">Section </w:t>
            </w:r>
            <w:fldSimple w:instr="REF sec_6_2 \w \h">
              <w:r>
                <w:t xml:space="preserve">6.2</w:t>
              </w:r>
            </w:fldSimple>
          </w:p>
        </w:tc>
      </w:tr>
    </w:tbl>
    <w:p>
      <w:pPr>
        <w:spacing w:after="140"/>
      </w:pPr>
    </w:p>
    <w:p>
      <w:pPr>
        <w:spacing w:after="140" w:line="276"/>
      </w:pPr>
      <w:r>
        <w:rPr>
          <w:b w:val="false"/>
          <w:bCs w:val="false"/>
          <w:i w:val="false"/>
          <w:iCs w:val="false"/>
        </w:rPr>
        <w:t xml:space="preserve">Against an insider with legitimate access, prevention can only go so far, because the access needed to commit the act is the access needed to do the job. Each insider risk is therefore paired with a reconciliation or behavior rule that finds the act within the shift.</w:t>
      </w:r>
    </w:p>
    <w:p>
      <w:pPr>
        <w:pStyle w:val="Heading2"/>
        <w:numPr>
          <w:ilvl w:val="1"/>
          <w:numId w:val="2"/>
        </w:numPr>
        <w:spacing w:after="140" w:before="260"/>
      </w:pPr>
      <w:r>
        <w:t xml:space="preserve">C</w:t>
      </w:r>
      <w:bookmarkStart w:name="sec_5_2" w:id="1"/>
      <w:r>
        <w:rPr>
          <w:b w:val="false"/>
          <w:bCs w:val="false"/>
          <w:i w:val="false"/>
          <w:iCs w:val="false"/>
        </w:rPr>
        <w:t xml:space="preserve">ontrols by risk</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Principal controls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C01 Signing key misused or extracted</w:t>
            </w:r>
          </w:p>
        </w:tc>
        <w:tc>
          <w:tcPr>
            <w:tcW w:type="dxa" w:w="7350"/>
            <w:tcMar>
              <w:top w:type="dxa" w:w="60"/>
              <w:left w:type="dxa" w:w="100"/>
              <w:bottom w:type="dxa" w:w="60"/>
              <w:right w:type="dxa" w:w="100"/>
            </w:tcMar>
          </w:tcPr>
          <w:p>
            <w:pPr>
              <w:spacing w:after="0" w:before="0"/>
            </w:pPr>
            <w:r>
              <w:rPr>
                <w:b w:val="false"/>
                <w:bCs w:val="false"/>
                <w:i w:val="false"/>
                <w:iCs w:val="false"/>
              </w:rPr>
              <w:t xml:space="preserve">Key generated inside FIPS 140 validated modules and not exportable; Signing Service the sole client of the modules, signing only for released jobs; module administration under a quorum of custodians; signatures reconciled against requests and blanks issued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C02 Card produced for a person not entitled</w:t>
            </w:r>
          </w:p>
        </w:tc>
        <w:tc>
          <w:tcPr>
            <w:tcW w:type="dxa" w:w="7350"/>
            <w:tcMar>
              <w:top w:type="dxa" w:w="60"/>
              <w:left w:type="dxa" w:w="100"/>
              <w:bottom w:type="dxa" w:w="60"/>
              <w:right w:type="dxa" w:w="100"/>
            </w:tcMar>
          </w:tcPr>
          <w:p>
            <w:pPr>
              <w:spacing w:after="0" w:before="0"/>
            </w:pPr>
            <w:r>
              <w:rPr>
                <w:b w:val="false"/>
                <w:bCs w:val="false"/>
                <w:i w:val="false"/>
                <w:iCs w:val="false"/>
              </w:rPr>
              <w:t xml:space="preserve">Production only from records released in NRIS; operator runs and supervisor releases; serialized reconciliation every shift; untraceable cards rejected at quality control; behavior analytics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C03 Cards stolen or diverted</w:t>
            </w:r>
          </w:p>
        </w:tc>
        <w:tc>
          <w:tcPr>
            <w:tcW w:type="dxa" w:w="7350"/>
            <w:tcMar>
              <w:top w:type="dxa" w:w="60"/>
              <w:left w:type="dxa" w:w="100"/>
              <w:bottom w:type="dxa" w:w="60"/>
              <w:right w:type="dxa" w:w="100"/>
            </w:tcMar>
          </w:tcPr>
          <w:p>
            <w:pPr>
              <w:spacing w:after="0" w:before="0"/>
            </w:pPr>
            <w:r>
              <w:rPr>
                <w:b w:val="false"/>
                <w:bCs w:val="false"/>
                <w:i w:val="false"/>
                <w:iCs w:val="false"/>
              </w:rPr>
              <w:t xml:space="preserve">Serialized stock; secure store under biometric access; destruction under dual custody with certificate; card-to-carrier matching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C04 Citizen data exfiltrated</w:t>
            </w:r>
          </w:p>
        </w:tc>
        <w:tc>
          <w:tcPr>
            <w:tcW w:type="dxa" w:w="7350"/>
            <w:tcMar>
              <w:top w:type="dxa" w:w="60"/>
              <w:left w:type="dxa" w:w="100"/>
              <w:bottom w:type="dxa" w:w="60"/>
              <w:right w:type="dxa" w:w="100"/>
            </w:tcMar>
          </w:tcPr>
          <w:p>
            <w:pPr>
              <w:spacing w:after="0" w:before="0"/>
            </w:pPr>
            <w:r>
              <w:rPr>
                <w:b w:val="false"/>
                <w:bCs w:val="false"/>
                <w:i w:val="false"/>
                <w:iCs w:val="false"/>
              </w:rPr>
              <w:t xml:space="preserve">Biometric data held only for the batch in production; AES-256 at rest; Database Zone behind the firewall; removable storage disabled; outbound traffic restricted; retrieval volumes monitored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C05 Ransomware</w:t>
            </w:r>
          </w:p>
        </w:tc>
        <w:tc>
          <w:tcPr>
            <w:tcW w:type="dxa" w:w="7350"/>
            <w:tcMar>
              <w:top w:type="dxa" w:w="60"/>
              <w:left w:type="dxa" w:w="100"/>
              <w:bottom w:type="dxa" w:w="60"/>
              <w:right w:type="dxa" w:w="100"/>
            </w:tcMar>
          </w:tcPr>
          <w:p>
            <w:pPr>
              <w:spacing w:after="0" w:before="0"/>
            </w:pPr>
            <w:r>
              <w:rPr>
                <w:b w:val="false"/>
                <w:bCs w:val="false"/>
                <w:i w:val="false"/>
                <w:iCs w:val="false"/>
              </w:rPr>
              <w:t xml:space="preserve">Endpoint detection and response; segmentation; hardened baselines; immutable backups under separate credentials; tested recovery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C06 Administrator credentials stolen</w:t>
            </w:r>
          </w:p>
        </w:tc>
        <w:tc>
          <w:tcPr>
            <w:tcW w:type="dxa" w:w="7350"/>
            <w:tcMar>
              <w:top w:type="dxa" w:w="60"/>
              <w:left w:type="dxa" w:w="100"/>
              <w:bottom w:type="dxa" w:w="60"/>
              <w:right w:type="dxa" w:w="100"/>
            </w:tcMar>
          </w:tcPr>
          <w:p>
            <w:pPr>
              <w:spacing w:after="0" w:before="0"/>
            </w:pPr>
            <w:r>
              <w:rPr>
                <w:b w:val="false"/>
                <w:bCs w:val="false"/>
                <w:i w:val="false"/>
                <w:iCs w:val="false"/>
              </w:rPr>
              <w:t xml:space="preserve">Multi-factor authentication; privileged access issued per session and recorded; administration only through the administrative access host; awareness training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C07 NRIS interface abused</w:t>
            </w:r>
          </w:p>
        </w:tc>
        <w:tc>
          <w:tcPr>
            <w:tcW w:type="dxa" w:w="7350"/>
            <w:tcMar>
              <w:top w:type="dxa" w:w="60"/>
              <w:left w:type="dxa" w:w="100"/>
              <w:bottom w:type="dxa" w:w="60"/>
              <w:right w:type="dxa" w:w="100"/>
            </w:tcMar>
          </w:tcPr>
          <w:p>
            <w:pPr>
              <w:spacing w:after="0" w:before="0"/>
            </w:pPr>
            <w:r>
              <w:rPr>
                <w:b w:val="false"/>
                <w:bCs w:val="false"/>
                <w:i w:val="false"/>
                <w:iCs w:val="false"/>
              </w:rPr>
              <w:t xml:space="preserve">Mutual certificate authentication; integrity check and validation of every exchange; requests accepted only if released in NRIS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C08 Equipment control systems compromised</w:t>
            </w:r>
          </w:p>
        </w:tc>
        <w:tc>
          <w:tcPr>
            <w:tcW w:type="dxa" w:w="7350"/>
            <w:tcMar>
              <w:top w:type="dxa" w:w="60"/>
              <w:left w:type="dxa" w:w="100"/>
              <w:bottom w:type="dxa" w:w="60"/>
              <w:right w:type="dxa" w:w="100"/>
            </w:tcMar>
          </w:tcPr>
          <w:p>
            <w:pPr>
              <w:spacing w:after="0" w:before="0"/>
            </w:pPr>
            <w:r>
              <w:rPr>
                <w:b w:val="false"/>
                <w:bCs w:val="false"/>
                <w:i w:val="false"/>
                <w:iCs w:val="false"/>
              </w:rPr>
              <w:t xml:space="preserve">Machine Control Zone on its own VLAN, reached only through the firewall pair; removable media controlled; integrity baseline from factory acceptance; compensating firewall rules within seven days of an advisory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C09 Tampered hardware or software</w:t>
            </w:r>
          </w:p>
        </w:tc>
        <w:tc>
          <w:tcPr>
            <w:tcW w:type="dxa" w:w="7350"/>
            <w:tcMar>
              <w:top w:type="dxa" w:w="60"/>
              <w:left w:type="dxa" w:w="100"/>
              <w:bottom w:type="dxa" w:w="60"/>
              <w:right w:type="dxa" w:w="100"/>
            </w:tcMar>
          </w:tcPr>
          <w:p>
            <w:pPr>
              <w:spacing w:after="0" w:before="0"/>
            </w:pPr>
            <w:r>
              <w:rPr>
                <w:b w:val="false"/>
                <w:bCs w:val="false"/>
                <w:i w:val="false"/>
                <w:iCs w:val="false"/>
              </w:rPr>
              <w:t xml:space="preserve">Supply through authorized channels; inspection on delivery; secure boot and signed firmware; software hashes verified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C10 Application vulnerability</w:t>
            </w:r>
          </w:p>
        </w:tc>
        <w:tc>
          <w:tcPr>
            <w:tcW w:type="dxa" w:w="7350"/>
            <w:tcMar>
              <w:top w:type="dxa" w:w="60"/>
              <w:left w:type="dxa" w:w="100"/>
              <w:bottom w:type="dxa" w:w="60"/>
              <w:right w:type="dxa" w:w="100"/>
            </w:tcMar>
          </w:tcPr>
          <w:p>
            <w:pPr>
              <w:spacing w:after="0" w:before="0"/>
            </w:pPr>
            <w:r>
              <w:rPr>
                <w:b w:val="false"/>
                <w:bCs w:val="false"/>
                <w:i w:val="false"/>
                <w:iCs w:val="false"/>
              </w:rPr>
              <w:t xml:space="preserve">Secure development lifecycle; static and dynamic testing; release gate; independent penetration testing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C11 Audit records altered</w:t>
            </w:r>
          </w:p>
        </w:tc>
        <w:tc>
          <w:tcPr>
            <w:tcW w:type="dxa" w:w="7350"/>
            <w:tcMar>
              <w:top w:type="dxa" w:w="60"/>
              <w:left w:type="dxa" w:w="100"/>
              <w:bottom w:type="dxa" w:w="60"/>
              <w:right w:type="dxa" w:w="100"/>
            </w:tcMar>
          </w:tcPr>
          <w:p>
            <w:pPr>
              <w:spacing w:after="0" w:before="0"/>
            </w:pPr>
            <w:r>
              <w:rPr>
                <w:b w:val="false"/>
                <w:bCs w:val="false"/>
                <w:i w:val="false"/>
                <w:iCs w:val="false"/>
              </w:rPr>
              <w:t xml:space="preserve">Write-once audit storage; events forwarded to monitoring and to NRB's Security Operations Center; auditor role separate from administrator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C12 Remote support abused or data leaves Malawi</w:t>
            </w:r>
          </w:p>
        </w:tc>
        <w:tc>
          <w:tcPr>
            <w:tcW w:type="dxa" w:w="7350"/>
            <w:tcMar>
              <w:top w:type="dxa" w:w="60"/>
              <w:left w:type="dxa" w:w="100"/>
              <w:bottom w:type="dxa" w:w="60"/>
              <w:right w:type="dxa" w:w="100"/>
            </w:tcMar>
          </w:tcPr>
          <w:p>
            <w:pPr>
              <w:spacing w:after="0" w:before="0"/>
            </w:pPr>
            <w:r>
              <w:rPr>
                <w:b w:val="false"/>
                <w:bCs w:val="false"/>
                <w:i w:val="false"/>
                <w:iCs w:val="false"/>
              </w:rPr>
              <w:t xml:space="preserve">No standing remote access; each session approved by NRB and recorded; synthetic data at the factory; personal data removed from logs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C13 Primary site lost</w:t>
            </w:r>
          </w:p>
        </w:tc>
        <w:tc>
          <w:tcPr>
            <w:tcW w:type="dxa" w:w="7350"/>
            <w:tcMar>
              <w:top w:type="dxa" w:w="60"/>
              <w:left w:type="dxa" w:w="100"/>
              <w:bottom w:type="dxa" w:w="60"/>
              <w:right w:type="dxa" w:w="100"/>
            </w:tcMar>
          </w:tcPr>
          <w:p>
            <w:pPr>
              <w:spacing w:after="0" w:before="0"/>
            </w:pPr>
            <w:r>
              <w:rPr>
                <w:b w:val="false"/>
                <w:bCs w:val="false"/>
                <w:i w:val="false"/>
                <w:iCs w:val="false"/>
              </w:rPr>
              <w:t xml:space="preserve">Secondary environment replicating within five minutes; immutable offsite backups; annual disaster recovery test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C14 Certificate lapses or algorithm weakens</w:t>
            </w:r>
          </w:p>
        </w:tc>
        <w:tc>
          <w:tcPr>
            <w:tcW w:type="dxa" w:w="7350"/>
            <w:tcMar>
              <w:top w:type="dxa" w:w="60"/>
              <w:left w:type="dxa" w:w="100"/>
              <w:bottom w:type="dxa" w:w="60"/>
              <w:right w:type="dxa" w:w="100"/>
            </w:tcMar>
          </w:tcPr>
          <w:p>
            <w:pPr>
              <w:spacing w:after="0" w:before="0"/>
            </w:pPr>
            <w:r>
              <w:rPr>
                <w:b w:val="false"/>
                <w:bCs w:val="false"/>
                <w:i w:val="false"/>
                <w:iCs w:val="false"/>
              </w:rPr>
              <w:t xml:space="preserve">Expiry alerts at 180, 90 and 30 days; renewal lead time agreed with e-Government; certificate reference recorded on every card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C15 Alerts missed or NRB not ready</w:t>
            </w:r>
          </w:p>
        </w:tc>
        <w:tc>
          <w:tcPr>
            <w:tcW w:type="dxa" w:w="7350"/>
            <w:tcMar>
              <w:top w:type="dxa" w:w="60"/>
              <w:left w:type="dxa" w:w="100"/>
              <w:bottom w:type="dxa" w:w="60"/>
              <w:right w:type="dxa" w:w="100"/>
            </w:tcMar>
          </w:tcPr>
          <w:p>
            <w:pPr>
              <w:spacing w:after="0" w:before="0"/>
            </w:pPr>
            <w:r>
              <w:rPr>
                <w:b w:val="false"/>
                <w:bCs w:val="false"/>
                <w:i w:val="false"/>
                <w:iCs w:val="false"/>
              </w:rPr>
              <w:t xml:space="preserve">Detection rules derived from this register; S1 and S2 alerts by SMS; three security engineers trained for two posts; Security Operations Center run by NRB under observation before transfer</w:t>
            </w:r>
          </w:p>
        </w:tc>
      </w:tr>
    </w:tbl>
    <w:p>
      <w:pPr>
        <w:spacing w:after="140"/>
      </w:pPr>
    </w:p>
    <w:p>
      <w:pPr>
        <w:pStyle w:val="Heading2"/>
        <w:numPr>
          <w:ilvl w:val="1"/>
          <w:numId w:val="2"/>
        </w:numPr>
        <w:spacing w:after="140" w:before="260"/>
      </w:pPr>
      <w:r>
        <w:t xml:space="preserve">M</w:t>
      </w:r>
      <w:bookmarkStart w:name="sec_5_3" w:id="1"/>
      <w:r>
        <w:rPr>
          <w:b w:val="false"/>
          <w:bCs w:val="false"/>
          <w:i w:val="false"/>
          <w:iCs w:val="false"/>
        </w:rPr>
        <w:t xml:space="preserve">itigation and control strategy template</w:t>
      </w:r>
      <w:bookmarkEnd w:id="1"/>
    </w:p>
    <w:p>
      <w:pPr>
        <w:spacing w:after="140" w:line="276"/>
      </w:pPr>
      <w:r>
        <w:rPr>
          <w:b w:val="false"/>
          <w:bCs w:val="false"/>
          <w:i w:val="false"/>
          <w:iCs w:val="false"/>
        </w:rPr>
        <w:t xml:space="preserve">Each risk is treated through a record in this form, created when the risk is identified and closed only when the residual risk has been verified and accepted.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45"/>
        <w:gridCol w:w="7275"/>
      </w:tblGrid>
      <w:tr>
        <w:trPr>
          <w:tblHeader/>
        </w:trPr>
        <w:tc>
          <w:tcPr>
            <w:tcW w:type="dxa" w:w="1745"/>
            <w:shd w:fill="EDEDED" w:val="clear"/>
            <w:tcMar>
              <w:top w:type="dxa" w:w="60"/>
              <w:left w:type="dxa" w:w="100"/>
              <w:bottom w:type="dxa" w:w="60"/>
              <w:right w:type="dxa" w:w="100"/>
            </w:tcMar>
          </w:tcPr>
          <w:p>
            <w:pPr>
              <w:spacing w:after="0" w:before="0"/>
            </w:pPr>
            <w:r>
              <w:rPr>
                <w:b/>
                <w:bCs/>
                <w:i w:val="false"/>
                <w:iCs w:val="false"/>
              </w:rPr>
              <w:t xml:space="preserve">Field</w:t>
            </w:r>
          </w:p>
        </w:tc>
        <w:tc>
          <w:tcPr>
            <w:tcW w:type="dxa" w:w="7275"/>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Risk ID, title and owner</w:t>
            </w:r>
          </w:p>
        </w:tc>
        <w:tc>
          <w:tcPr>
            <w:tcW w:type="dxa" w:w="7275"/>
            <w:tcMar>
              <w:top w:type="dxa" w:w="60"/>
              <w:left w:type="dxa" w:w="100"/>
              <w:bottom w:type="dxa" w:w="60"/>
              <w:right w:type="dxa" w:w="100"/>
            </w:tcMar>
          </w:tcPr>
          <w:p>
            <w:pPr>
              <w:spacing w:after="0" w:before="0"/>
            </w:pPr>
            <w:r>
              <w:rPr>
                <w:b w:val="false"/>
                <w:bCs w:val="false"/>
                <w:i w:val="false"/>
                <w:iCs w:val="false"/>
              </w:rPr>
              <w:t xml:space="preserve">Register identifier; the role accountable during implementation and from handover</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Risk scenario</w:t>
            </w:r>
          </w:p>
        </w:tc>
        <w:tc>
          <w:tcPr>
            <w:tcW w:type="dxa" w:w="7275"/>
            <w:tcMar>
              <w:top w:type="dxa" w:w="60"/>
              <w:left w:type="dxa" w:w="100"/>
              <w:bottom w:type="dxa" w:w="60"/>
              <w:right w:type="dxa" w:w="100"/>
            </w:tcMar>
          </w:tcPr>
          <w:p>
            <w:pPr>
              <w:spacing w:after="0" w:before="0"/>
            </w:pPr>
            <w:r>
              <w:rPr>
                <w:b w:val="false"/>
                <w:bCs w:val="false"/>
                <w:i w:val="false"/>
                <w:iCs w:val="false"/>
              </w:rPr>
              <w:t xml:space="preserve">Asset, threat source, what happens, and the consequence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Inherent rating</w:t>
            </w:r>
          </w:p>
        </w:tc>
        <w:tc>
          <w:tcPr>
            <w:tcW w:type="dxa" w:w="7275"/>
            <w:tcMar>
              <w:top w:type="dxa" w:w="60"/>
              <w:left w:type="dxa" w:w="100"/>
              <w:bottom w:type="dxa" w:w="60"/>
              <w:right w:type="dxa" w:w="100"/>
            </w:tcMar>
          </w:tcPr>
          <w:p>
            <w:pPr>
              <w:spacing w:after="0" w:before="0"/>
            </w:pPr>
            <w:r>
              <w:rPr>
                <w:b w:val="false"/>
                <w:bCs w:val="false"/>
                <w:i w:val="false"/>
                <w:iCs w:val="false"/>
              </w:rPr>
              <w:t xml:space="preserve">Likelihood, impact and band, on the scales of </w:t>
            </w:r>
            <w:r>
              <w:rPr>
                <w:b w:val="false"/>
                <w:bCs w:val="false"/>
                <w:i w:val="false"/>
                <w:iCs w:val="false"/>
              </w:rPr>
              <w:t xml:space="preserve">Section </w:t>
            </w:r>
            <w:fldSimple w:instr="REF sec_4_2 \w \h">
              <w:r>
                <w:t xml:space="preserve">4.2</w:t>
              </w:r>
            </w:fldSimple>
          </w:p>
        </w:tc>
      </w:tr>
      <w:tr>
        <w:tc>
          <w:tcPr>
            <w:tcW w:type="dxa" w:w="1745"/>
            <w:tcMar>
              <w:top w:type="dxa" w:w="60"/>
              <w:left w:type="dxa" w:w="100"/>
              <w:bottom w:type="dxa" w:w="60"/>
              <w:right w:type="dxa" w:w="100"/>
            </w:tcMar>
          </w:tcPr>
          <w:p>
            <w:pPr>
              <w:spacing w:after="0" w:before="0"/>
            </w:pPr>
            <w:r>
              <w:rPr>
                <w:b w:val="false"/>
                <w:bCs w:val="false"/>
                <w:i w:val="false"/>
                <w:iCs w:val="false"/>
              </w:rPr>
              <w:t xml:space="preserve">Treatment option</w:t>
            </w:r>
          </w:p>
        </w:tc>
        <w:tc>
          <w:tcPr>
            <w:tcW w:type="dxa" w:w="7275"/>
            <w:tcMar>
              <w:top w:type="dxa" w:w="60"/>
              <w:left w:type="dxa" w:w="100"/>
              <w:bottom w:type="dxa" w:w="60"/>
              <w:right w:type="dxa" w:w="100"/>
            </w:tcMar>
          </w:tcPr>
          <w:p>
            <w:pPr>
              <w:spacing w:after="0" w:before="0"/>
            </w:pPr>
            <w:r>
              <w:rPr>
                <w:b w:val="false"/>
                <w:bCs w:val="false"/>
                <w:i w:val="false"/>
                <w:iCs w:val="false"/>
              </w:rPr>
              <w:t xml:space="preserve">Modify, avoid, share or retain</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Preventive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control, with its ISO/IEC 27001 Annex A reference and System Architecture reference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Detective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control, with its detection rule in security monitoring</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Corrective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The incident category in </w:t>
            </w:r>
            <w:r>
              <w:rPr>
                <w:b w:val="false"/>
                <w:bCs w:val="false"/>
                <w:i w:val="false"/>
                <w:iCs w:val="false"/>
              </w:rPr>
              <w:t xml:space="preserve">Section </w:t>
            </w:r>
            <w:fldSimple w:instr="REF sec_7_3 \w \h">
              <w:r>
                <w:t xml:space="preserve">7.3</w:t>
              </w:r>
            </w:fldSimple>
            <w:r>
              <w:rPr>
                <w:b w:val="false"/>
                <w:bCs w:val="false"/>
                <w:i w:val="false"/>
                <w:iCs w:val="false"/>
              </w:rPr>
              <w:t xml:space="preserve"> and the recovery scenario in </w:t>
            </w:r>
            <w:r>
              <w:rPr>
                <w:b w:val="false"/>
                <w:bCs w:val="false"/>
                <w:i w:val="false"/>
                <w:iCs w:val="false"/>
              </w:rPr>
              <w:t xml:space="preserve">Section </w:t>
            </w:r>
            <w:fldSimple w:instr="REF sec_8_1 \w \h">
              <w:r>
                <w:t xml:space="preserve">8.1</w:t>
              </w:r>
            </w:fldSimple>
          </w:p>
        </w:tc>
      </w:tr>
      <w:tr>
        <w:tc>
          <w:tcPr>
            <w:tcW w:type="dxa" w:w="1745"/>
            <w:tcMar>
              <w:top w:type="dxa" w:w="60"/>
              <w:left w:type="dxa" w:w="100"/>
              <w:bottom w:type="dxa" w:w="60"/>
              <w:right w:type="dxa" w:w="100"/>
            </w:tcMar>
          </w:tcPr>
          <w:p>
            <w:pPr>
              <w:spacing w:after="0" w:before="0"/>
            </w:pPr>
            <w:r>
              <w:rPr>
                <w:b w:val="false"/>
                <w:bCs w:val="false"/>
                <w:i w:val="false"/>
                <w:iCs w:val="false"/>
              </w:rPr>
              <w:t xml:space="preserve">Actions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implementation action, who performs it and the week it is due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Verification</w:t>
            </w:r>
          </w:p>
        </w:tc>
        <w:tc>
          <w:tcPr>
            <w:tcW w:type="dxa" w:w="7275"/>
            <w:tcMar>
              <w:top w:type="dxa" w:w="60"/>
              <w:left w:type="dxa" w:w="100"/>
              <w:bottom w:type="dxa" w:w="60"/>
              <w:right w:type="dxa" w:w="100"/>
            </w:tcMar>
          </w:tcPr>
          <w:p>
            <w:pPr>
              <w:spacing w:after="0" w:before="0"/>
            </w:pPr>
            <w:r>
              <w:rPr>
                <w:b w:val="false"/>
                <w:bCs w:val="false"/>
                <w:i w:val="false"/>
                <w:iCs w:val="false"/>
              </w:rPr>
              <w:t xml:space="preserve">The test or evidence that shows each control works, and its acceptance criterion</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Residual rating</w:t>
            </w:r>
          </w:p>
        </w:tc>
        <w:tc>
          <w:tcPr>
            <w:tcW w:type="dxa" w:w="7275"/>
            <w:tcMar>
              <w:top w:type="dxa" w:w="60"/>
              <w:left w:type="dxa" w:w="100"/>
              <w:bottom w:type="dxa" w:w="60"/>
              <w:right w:type="dxa" w:w="100"/>
            </w:tcMar>
          </w:tcPr>
          <w:p>
            <w:pPr>
              <w:spacing w:after="0" w:before="0"/>
            </w:pPr>
            <w:r>
              <w:rPr>
                <w:b w:val="false"/>
                <w:bCs w:val="false"/>
                <w:i w:val="false"/>
                <w:iCs w:val="false"/>
              </w:rPr>
              <w:t xml:space="preserve">Likelihood, impact and band after verified treatment</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Acceptance</w:t>
            </w:r>
          </w:p>
        </w:tc>
        <w:tc>
          <w:tcPr>
            <w:tcW w:type="dxa" w:w="7275"/>
            <w:tcMar>
              <w:top w:type="dxa" w:w="60"/>
              <w:left w:type="dxa" w:w="100"/>
              <w:bottom w:type="dxa" w:w="60"/>
              <w:right w:type="dxa" w:w="100"/>
            </w:tcMar>
          </w:tcPr>
          <w:p>
            <w:pPr>
              <w:spacing w:after="0" w:before="0"/>
            </w:pPr>
            <w:r>
              <w:rPr>
                <w:b w:val="false"/>
                <w:bCs w:val="false"/>
                <w:i w:val="false"/>
                <w:iCs w:val="false"/>
              </w:rPr>
              <w:t xml:space="preserve">Accepting authority, name and date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Review</w:t>
            </w:r>
          </w:p>
        </w:tc>
        <w:tc>
          <w:tcPr>
            <w:tcW w:type="dxa" w:w="7275"/>
            <w:tcMar>
              <w:top w:type="dxa" w:w="60"/>
              <w:left w:type="dxa" w:w="100"/>
              <w:bottom w:type="dxa" w:w="60"/>
              <w:right w:type="dxa" w:w="100"/>
            </w:tcMar>
          </w:tcPr>
          <w:p>
            <w:pPr>
              <w:spacing w:after="0" w:before="0"/>
            </w:pPr>
            <w:r>
              <w:rPr>
                <w:b w:val="false"/>
                <w:bCs w:val="false"/>
                <w:i w:val="false"/>
                <w:iCs w:val="false"/>
              </w:rPr>
              <w:t xml:space="preserve">Next review date and the events that trigger an earlier one</w:t>
            </w:r>
          </w:p>
        </w:tc>
      </w:tr>
    </w:tbl>
    <w:p>
      <w:pPr>
        <w:spacing w:after="140"/>
      </w:pPr>
    </w:p>
    <w:p>
      <w:r>
        <w:br w:type="page"/>
      </w:r>
    </w:p>
    <w:p>
      <w:r>
        <w:br w:type="page"/>
      </w:r>
    </w:p>
    <w:p>
      <w:pPr>
        <w:pStyle w:val="Heading1"/>
        <w:numPr>
          <w:ilvl w:val="0"/>
          <w:numId w:val="2"/>
        </w:numPr>
        <w:spacing w:after="140" w:before="240"/>
      </w:pPr>
      <w:r>
        <w:t xml:space="preserve">I</w:t>
      </w:r>
      <w:bookmarkStart w:name="sec_6" w:id="1"/>
      <w:r>
        <w:rPr>
          <w:b w:val="false"/>
          <w:bCs w:val="false"/>
          <w:i w:val="false"/>
          <w:iCs w:val="false"/>
        </w:rPr>
        <w:t xml:space="preserve">mplementation Method Statement</w:t>
      </w:r>
      <w:bookmarkEnd w:id="1"/>
    </w:p>
    <w:p>
      <w:pPr>
        <w:pStyle w:val="Heading2"/>
        <w:numPr>
          <w:ilvl w:val="1"/>
          <w:numId w:val="2"/>
        </w:numPr>
        <w:spacing w:after="140" w:before="260"/>
      </w:pPr>
      <w:r>
        <w:t xml:space="preserve">S</w:t>
      </w:r>
      <w:bookmarkStart w:name="sec_6_1" w:id="1"/>
      <w:r>
        <w:rPr>
          <w:b w:val="false"/>
          <w:bCs w:val="false"/>
          <w:i w:val="false"/>
          <w:iCs w:val="false"/>
        </w:rPr>
        <w:t xml:space="preserve">ecurity activities by phase</w:t>
      </w:r>
      <w:bookmarkEnd w:id="1"/>
    </w:p>
    <w:p>
      <w:pPr>
        <w:spacing w:after="140" w:line="276"/>
      </w:pPr>
      <w:r>
        <w:rPr>
          <w:b w:val="false"/>
          <w:bCs w:val="false"/>
          <w:i w:val="false"/>
          <w:iCs w:val="false"/>
        </w:rPr>
        <w:t xml:space="preserve">Security runs through every phase of the Implementation Sub-Plan in Preliminary Project Plan Section 2.1, and the milestones below carry a security condition.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34"/>
        <w:gridCol w:w="5626"/>
        <w:gridCol w:w="1560"/>
      </w:tblGrid>
      <w:tr>
        <w:trPr>
          <w:tblHeader/>
        </w:trPr>
        <w:tc>
          <w:tcPr>
            <w:tcW w:type="dxa" w:w="1834"/>
            <w:shd w:fill="EDEDED" w:val="clear"/>
            <w:tcMar>
              <w:top w:type="dxa" w:w="60"/>
              <w:left w:type="dxa" w:w="100"/>
              <w:bottom w:type="dxa" w:w="60"/>
              <w:right w:type="dxa" w:w="100"/>
            </w:tcMar>
          </w:tcPr>
          <w:p>
            <w:pPr>
              <w:spacing w:after="0" w:before="0"/>
            </w:pPr>
            <w:r>
              <w:rPr>
                <w:b/>
                <w:bCs/>
                <w:i w:val="false"/>
                <w:iCs w:val="false"/>
              </w:rPr>
              <w:t xml:space="preserve">Phase and weeks</w:t>
            </w:r>
          </w:p>
        </w:tc>
        <w:tc>
          <w:tcPr>
            <w:tcW w:type="dxa" w:w="5626"/>
            <w:shd w:fill="EDEDED" w:val="clear"/>
            <w:tcMar>
              <w:top w:type="dxa" w:w="60"/>
              <w:left w:type="dxa" w:w="100"/>
              <w:bottom w:type="dxa" w:w="60"/>
              <w:right w:type="dxa" w:w="100"/>
            </w:tcMar>
          </w:tcPr>
          <w:p>
            <w:pPr>
              <w:spacing w:after="0" w:before="0"/>
            </w:pPr>
            <w:r>
              <w:rPr>
                <w:b/>
                <w:bCs/>
                <w:i w:val="false"/>
                <w:iCs w:val="false"/>
              </w:rPr>
              <w:t xml:space="preserve">Security activities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Security condition</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Mobilization and planning, weeks 1 to 2</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Working Group formed; personnel screened and inducted; risk register baselined; escalation matrix issued</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Design and detailed planning, weeks 3 to 6</w:t>
            </w:r>
          </w:p>
        </w:tc>
        <w:tc>
          <w:tcPr>
            <w:tcW w:type="dxa" w:w="5626"/>
            <w:tcMar>
              <w:top w:type="dxa" w:w="60"/>
              <w:left w:type="dxa" w:w="100"/>
              <w:bottom w:type="dxa" w:w="60"/>
              <w:right w:type="dxa" w:w="100"/>
            </w:tcMar>
          </w:tcPr>
          <w:p>
            <w:pPr>
              <w:spacing w:after="0" w:before="0"/>
            </w:pPr>
            <w:r>
              <w:rPr>
                <w:b w:val="false"/>
                <w:bCs w:val="false"/>
                <w:i w:val="false"/>
                <w:iCs w:val="false"/>
              </w:rPr>
              <w:t xml:space="preserve">Threat modeling of the design; Privacy Impact Assessment; Security Design Documentation, including the access control matrix, key management procedures and hardening guide; policies drafted; certificate profile agreed with e-Government</w:t>
            </w:r>
          </w:p>
        </w:tc>
        <w:tc>
          <w:tcPr>
            <w:tcW w:type="dxa" w:w="1560"/>
            <w:tcMar>
              <w:top w:type="dxa" w:w="60"/>
              <w:left w:type="dxa" w:w="100"/>
              <w:bottom w:type="dxa" w:w="60"/>
              <w:right w:type="dxa" w:w="100"/>
            </w:tcMar>
          </w:tcPr>
          <w:p>
            <w:pPr>
              <w:spacing w:after="0" w:before="0"/>
            </w:pPr>
            <w:r>
              <w:rPr>
                <w:b w:val="false"/>
                <w:bCs w:val="false"/>
                <w:i w:val="false"/>
                <w:iCs w:val="false"/>
              </w:rPr>
              <w:t xml:space="preserve">Detailed Design Approval: no High risk without an approved treatment</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Procurement and manufacturing, weeks 7 to 16</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Secure development with static and dynamic testing; equipment control PCs hardened with the manufacturer; ICT ordered through authorized channels; synthetic data only</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Factory acceptance testing, week 17</w:t>
            </w:r>
          </w:p>
        </w:tc>
        <w:tc>
          <w:tcPr>
            <w:tcW w:type="dxa" w:w="5626"/>
            <w:tcMar>
              <w:top w:type="dxa" w:w="60"/>
              <w:left w:type="dxa" w:w="100"/>
              <w:bottom w:type="dxa" w:w="60"/>
              <w:right w:type="dxa" w:w="100"/>
            </w:tcMar>
          </w:tcPr>
          <w:p>
            <w:pPr>
              <w:spacing w:after="0" w:before="0"/>
            </w:pPr>
            <w:r>
              <w:rPr>
                <w:b w:val="false"/>
                <w:bCs w:val="false"/>
                <w:i w:val="false"/>
                <w:iCs w:val="false"/>
              </w:rPr>
              <w:t xml:space="preserve">Equipment hardening verified; integrity baseline of the control software recorded</w:t>
            </w:r>
          </w:p>
        </w:tc>
        <w:tc>
          <w:tcPr>
            <w:tcW w:type="dxa" w:w="1560"/>
            <w:tcMar>
              <w:top w:type="dxa" w:w="60"/>
              <w:left w:type="dxa" w:w="100"/>
              <w:bottom w:type="dxa" w:w="60"/>
              <w:right w:type="dxa" w:w="100"/>
            </w:tcMar>
          </w:tcPr>
          <w:p>
            <w:pPr>
              <w:spacing w:after="0" w:before="0"/>
            </w:pPr>
            <w:r>
              <w:rPr>
                <w:b w:val="false"/>
                <w:bCs w:val="false"/>
                <w:i w:val="false"/>
                <w:iCs w:val="false"/>
              </w:rPr>
              <w:t xml:space="preserve">Successful FAT: baseline recorded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Installation and site acceptance testing, weeks 21 to 26, with the ICT from week 15</w:t>
            </w:r>
          </w:p>
        </w:tc>
        <w:tc>
          <w:tcPr>
            <w:tcW w:type="dxa" w:w="5626"/>
            <w:tcMar>
              <w:top w:type="dxa" w:w="60"/>
              <w:left w:type="dxa" w:w="100"/>
              <w:bottom w:type="dxa" w:w="60"/>
              <w:right w:type="dxa" w:w="100"/>
            </w:tcMar>
          </w:tcPr>
          <w:p>
            <w:pPr>
              <w:spacing w:after="0" w:before="0"/>
            </w:pPr>
            <w:r>
              <w:rPr>
                <w:b w:val="false"/>
                <w:bCs w:val="false"/>
                <w:i w:val="false"/>
                <w:iCs w:val="false"/>
              </w:rPr>
              <w:t xml:space="preserve">Equipment inspected on delivery; firewalls, directory, multi-factor authentication, privileged access management and monitoring built before the hosts they protect; key ceremony witnessed by NRB in week 16; secondary environment to the same baselines; security testing and penetration testing; integration with NRB's Security Operations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Installation and SAT: no Critical or High finding open; no citizen data before this point</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Training and knowledge transfer, weeks 25 to 28</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training; incident response exercise</w:t>
            </w:r>
          </w:p>
        </w:tc>
        <w:tc>
          <w:tcPr>
            <w:tcW w:type="dxa" w:w="1560"/>
            <w:tcMar>
              <w:top w:type="dxa" w:w="60"/>
              <w:left w:type="dxa" w:w="100"/>
              <w:bottom w:type="dxa" w:w="60"/>
              <w:right w:type="dxa" w:w="100"/>
            </w:tcMar>
          </w:tcPr>
          <w:p>
            <w:pPr>
              <w:spacing w:after="0" w:before="0"/>
            </w:pPr>
            <w:r>
              <w:rPr>
                <w:b w:val="false"/>
                <w:bCs w:val="false"/>
                <w:i w:val="false"/>
                <w:iCs w:val="false"/>
              </w:rPr>
              <w:t xml:space="preserve">Training completed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Commissioning, weeks 27 to 30</w:t>
            </w:r>
          </w:p>
        </w:tc>
        <w:tc>
          <w:tcPr>
            <w:tcW w:type="dxa" w:w="5626"/>
            <w:tcMar>
              <w:top w:type="dxa" w:w="60"/>
              <w:left w:type="dxa" w:w="100"/>
              <w:bottom w:type="dxa" w:w="60"/>
              <w:right w:type="dxa" w:w="100"/>
            </w:tcMar>
          </w:tcPr>
          <w:p>
            <w:pPr>
              <w:spacing w:after="0" w:before="0"/>
            </w:pPr>
            <w:r>
              <w:rPr>
                <w:b w:val="false"/>
                <w:bCs w:val="false"/>
                <w:i w:val="false"/>
                <w:iCs w:val="false"/>
              </w:rPr>
              <w:t xml:space="preserve">Operational acceptance tests 9 to 12; NRB runs the Security Operations Center under observation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System commissioned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Handover and go-live, weeks 31 to 32</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Operations Center transferred; credentials rotated; residual risks accepted by NRB</w:t>
            </w:r>
          </w:p>
        </w:tc>
        <w:tc>
          <w:tcPr>
            <w:tcW w:type="dxa" w:w="1560"/>
            <w:tcMar>
              <w:top w:type="dxa" w:w="60"/>
              <w:left w:type="dxa" w:w="100"/>
              <w:bottom w:type="dxa" w:w="60"/>
              <w:right w:type="dxa" w:w="100"/>
            </w:tcMar>
          </w:tcPr>
          <w:p>
            <w:pPr>
              <w:spacing w:after="0" w:before="0"/>
            </w:pPr>
            <w:r>
              <w:rPr>
                <w:b w:val="false"/>
                <w:bCs w:val="false"/>
                <w:i w:val="false"/>
                <w:iCs w:val="false"/>
              </w:rPr>
              <w:t xml:space="preserve">Full handover</w:t>
            </w:r>
          </w:p>
        </w:tc>
      </w:tr>
    </w:tbl>
    <w:p>
      <w:pPr>
        <w:spacing w:after="140"/>
      </w:pPr>
    </w:p>
    <w:p>
      <w:pPr>
        <w:pStyle w:val="Heading2"/>
        <w:numPr>
          <w:ilvl w:val="1"/>
          <w:numId w:val="2"/>
        </w:numPr>
        <w:spacing w:after="140" w:before="260"/>
      </w:pPr>
      <w:r>
        <w:t xml:space="preserve">S</w:t>
      </w:r>
      <w:bookmarkStart w:name="sec_6_2" w:id="1"/>
      <w:r>
        <w:rPr>
          <w:b w:val="false"/>
          <w:bCs w:val="false"/>
          <w:i w:val="false"/>
          <w:iCs w:val="false"/>
        </w:rPr>
        <w:t xml:space="preserve">ecurity testing</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187"/>
        <w:gridCol w:w="2833"/>
      </w:tblGrid>
      <w:tr>
        <w:trPr>
          <w:tblHeader/>
        </w:trPr>
        <w:tc>
          <w:tcPr>
            <w:tcW w:type="dxa" w:w="6187"/>
            <w:shd w:fill="EDEDED" w:val="clear"/>
            <w:tcMar>
              <w:top w:type="dxa" w:w="60"/>
              <w:left w:type="dxa" w:w="100"/>
              <w:bottom w:type="dxa" w:w="60"/>
              <w:right w:type="dxa" w:w="100"/>
            </w:tcMar>
          </w:tcPr>
          <w:p>
            <w:pPr>
              <w:spacing w:after="0" w:before="0"/>
            </w:pPr>
            <w:r>
              <w:rPr>
                <w:b/>
                <w:bCs/>
                <w:i w:val="false"/>
                <w:iCs w:val="false"/>
              </w:rPr>
              <w:t xml:space="preserve">Test and weeks</w:t>
            </w:r>
          </w:p>
        </w:tc>
        <w:tc>
          <w:tcPr>
            <w:tcW w:type="dxa" w:w="2833"/>
            <w:shd w:fill="EDEDED" w:val="clear"/>
            <w:tcMar>
              <w:top w:type="dxa" w:w="60"/>
              <w:left w:type="dxa" w:w="100"/>
              <w:bottom w:type="dxa" w:w="60"/>
              <w:right w:type="dxa" w:w="100"/>
            </w:tcMar>
          </w:tcPr>
          <w:p>
            <w:pPr>
              <w:spacing w:after="0" w:before="0"/>
            </w:pPr>
            <w:r>
              <w:rPr>
                <w:b/>
                <w:bCs/>
                <w:i w:val="false"/>
                <w:iCs w:val="false"/>
              </w:rPr>
              <w:t xml:space="preserve">Exit criterion</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Static and dynamic testing of software written under the Contract, weeks 7 to 16</w:t>
            </w:r>
          </w:p>
        </w:tc>
        <w:tc>
          <w:tcPr>
            <w:tcW w:type="dxa" w:w="2833"/>
            <w:tcMar>
              <w:top w:type="dxa" w:w="60"/>
              <w:left w:type="dxa" w:w="100"/>
              <w:bottom w:type="dxa" w:w="60"/>
              <w:right w:type="dxa" w:w="100"/>
            </w:tcMar>
          </w:tcPr>
          <w:p>
            <w:pPr>
              <w:spacing w:after="0" w:before="0"/>
            </w:pPr>
            <w:r>
              <w:rPr>
                <w:b w:val="false"/>
                <w:bCs w:val="false"/>
                <w:i w:val="false"/>
                <w:iCs w:val="false"/>
              </w:rPr>
              <w:t xml:space="preserve">No unresolved high severity finding in a promoted release</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Pre-commissioning test 5, cybersecurity and access control, week 19</w:t>
            </w:r>
          </w:p>
        </w:tc>
        <w:tc>
          <w:tcPr>
            <w:tcW w:type="dxa" w:w="2833"/>
            <w:tcMar>
              <w:top w:type="dxa" w:w="60"/>
              <w:left w:type="dxa" w:w="100"/>
              <w:bottom w:type="dxa" w:w="60"/>
              <w:right w:type="dxa" w:w="100"/>
            </w:tcMar>
          </w:tcPr>
          <w:p>
            <w:pPr>
              <w:spacing w:after="0" w:before="0"/>
            </w:pPr>
            <w:r>
              <w:rPr>
                <w:b w:val="false"/>
                <w:bCs w:val="false"/>
                <w:i w:val="false"/>
                <w:iCs w:val="false"/>
              </w:rPr>
              <w:t xml:space="preserve">Security Readiness Report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Pre-commissioning test 13, backup and recovery, including failover, week 20</w:t>
            </w:r>
          </w:p>
        </w:tc>
        <w:tc>
          <w:tcPr>
            <w:tcW w:type="dxa" w:w="2833"/>
            <w:tcMar>
              <w:top w:type="dxa" w:w="60"/>
              <w:left w:type="dxa" w:w="100"/>
              <w:bottom w:type="dxa" w:w="60"/>
              <w:right w:type="dxa" w:w="100"/>
            </w:tcMar>
          </w:tcPr>
          <w:p>
            <w:pPr>
              <w:spacing w:after="0" w:before="0"/>
            </w:pPr>
            <w:r>
              <w:rPr>
                <w:b w:val="false"/>
                <w:bCs w:val="false"/>
                <w:i w:val="false"/>
                <w:iCs w:val="false"/>
              </w:rPr>
              <w:t xml:space="preserve">Backup and Recovery Test Report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Security testing, weeks 20 and 21: vulnerability assessment, authentication, encryption validation, configuration against the hardened baselines, and simulation of the activity each detection rule for a High or Critical risk must catch</w:t>
            </w:r>
          </w:p>
        </w:tc>
        <w:tc>
          <w:tcPr>
            <w:tcW w:type="dxa" w:w="2833"/>
            <w:tcMar>
              <w:top w:type="dxa" w:w="60"/>
              <w:left w:type="dxa" w:w="100"/>
              <w:bottom w:type="dxa" w:w="60"/>
              <w:right w:type="dxa" w:w="100"/>
            </w:tcMar>
          </w:tcPr>
          <w:p>
            <w:pPr>
              <w:spacing w:after="0" w:before="0"/>
            </w:pPr>
            <w:r>
              <w:rPr>
                <w:b w:val="false"/>
                <w:bCs w:val="false"/>
                <w:i w:val="false"/>
                <w:iCs w:val="false"/>
              </w:rPr>
              <w:t xml:space="preserve">Findings rated and entered for remediation; each tested rule raised its alert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Independent penetration testing of the full deployed configuration, including the Machine Control Zone, week 24</w:t>
            </w:r>
          </w:p>
        </w:tc>
        <w:tc>
          <w:tcPr>
            <w:tcW w:type="dxa" w:w="2833"/>
            <w:tcMar>
              <w:top w:type="dxa" w:w="60"/>
              <w:left w:type="dxa" w:w="100"/>
              <w:bottom w:type="dxa" w:w="60"/>
              <w:right w:type="dxa" w:w="100"/>
            </w:tcMar>
          </w:tcPr>
          <w:p>
            <w:pPr>
              <w:spacing w:after="0" w:before="0"/>
            </w:pPr>
            <w:r>
              <w:rPr>
                <w:b w:val="false"/>
                <w:bCs w:val="false"/>
                <w:i w:val="false"/>
                <w:iCs w:val="false"/>
              </w:rPr>
              <w:t xml:space="preserve">Report delivered unedited to the Purchaser</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Remediation and retest, weeks 25 and 26</w:t>
            </w:r>
          </w:p>
        </w:tc>
        <w:tc>
          <w:tcPr>
            <w:tcW w:type="dxa" w:w="2833"/>
            <w:tcMar>
              <w:top w:type="dxa" w:w="60"/>
              <w:left w:type="dxa" w:w="100"/>
              <w:bottom w:type="dxa" w:w="60"/>
              <w:right w:type="dxa" w:w="100"/>
            </w:tcMar>
          </w:tcPr>
          <w:p>
            <w:pPr>
              <w:spacing w:after="0" w:before="0"/>
            </w:pPr>
            <w:r>
              <w:rPr>
                <w:b w:val="false"/>
                <w:bCs w:val="false"/>
                <w:i w:val="false"/>
                <w:iCs w:val="false"/>
              </w:rPr>
              <w:t xml:space="preserve">No Critical or High finding open</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Operational acceptance tests 9 to 12, week 27</w:t>
            </w:r>
          </w:p>
        </w:tc>
        <w:tc>
          <w:tcPr>
            <w:tcW w:type="dxa" w:w="2833"/>
            <w:tcMar>
              <w:top w:type="dxa" w:w="60"/>
              <w:left w:type="dxa" w:w="100"/>
              <w:bottom w:type="dxa" w:w="60"/>
              <w:right w:type="dxa" w:w="100"/>
            </w:tcMar>
          </w:tcPr>
          <w:p>
            <w:pPr>
              <w:spacing w:after="0" w:before="0"/>
            </w:pPr>
            <w:r>
              <w:rPr>
                <w:b w:val="false"/>
                <w:bCs w:val="false"/>
                <w:i w:val="false"/>
                <w:iCs w:val="false"/>
              </w:rPr>
              <w:t xml:space="preserve">Success criteria of Table B</w:t>
            </w:r>
          </w:p>
        </w:tc>
      </w:tr>
    </w:tbl>
    <w:p>
      <w:pPr>
        <w:spacing w:after="140"/>
      </w:pPr>
    </w:p>
    <w:p>
      <w:pPr>
        <w:spacing w:after="140" w:line="276"/>
      </w:pPr>
      <w:r>
        <w:rPr>
          <w:b w:val="false"/>
          <w:bCs w:val="false"/>
          <w:i w:val="false"/>
          <w:iCs w:val="false"/>
        </w:rPr>
        <w:t xml:space="preserve">The penetration tester is independent of Inkript, and its scope and rules of engagement are approved by NRB before testing begins.</w:t>
      </w:r>
    </w:p>
    <w:p>
      <w:pPr>
        <w:pStyle w:val="Heading2"/>
        <w:numPr>
          <w:ilvl w:val="1"/>
          <w:numId w:val="2"/>
        </w:numPr>
        <w:spacing w:after="140" w:before="260"/>
      </w:pPr>
      <w:r>
        <w:t xml:space="preserve">H</w:t>
      </w:r>
      <w:bookmarkStart w:name="sec_6_3" w:id="1"/>
      <w:r>
        <w:rPr>
          <w:b w:val="false"/>
          <w:bCs w:val="false"/>
          <w:i w:val="false"/>
          <w:iCs w:val="false"/>
        </w:rPr>
        <w:t xml:space="preserve">andover and operation</w:t>
      </w:r>
      <w:bookmarkEnd w:id="1"/>
    </w:p>
    <w:p>
      <w:pPr>
        <w:spacing w:after="140" w:line="276"/>
      </w:pPr>
      <w:r>
        <w:rPr>
          <w:b/>
          <w:bCs/>
          <w:i w:val="false"/>
          <w:iCs w:val="false"/>
        </w:rPr>
        <w:t xml:space="preserve">At handover.</w:t>
      </w:r>
      <w:r>
        <w:rPr>
          <w:b w:val="false"/>
          <w:bCs w:val="false"/>
          <w:i w:val="false"/>
          <w:iCs w:val="false"/>
        </w:rPr>
        <w:t xml:space="preserve"> Every privileged credential known to the Supplier is rotated, break-glass credentials are re-sealed for NRB custodians, the module administrator credentials are re-issued to the custodians NRB designates, and Supplier access is reduced to named support accounts usable only with NRB's approval. As-built security documentation, the policies and procedures, and the risk register with each residual risk accepted are handed over with the Security Operations Center.</w:t>
      </w:r>
    </w:p>
    <w:p>
      <w:pPr>
        <w:spacing w:after="140" w:line="276"/>
      </w:pPr>
      <w:r>
        <w:rPr>
          <w:b/>
          <w:bCs/>
          <w:i w:val="false"/>
          <w:iCs w:val="false"/>
        </w:rPr>
        <w:t xml:space="preserve">In operation.</w:t>
      </w:r>
      <w:r>
        <w:rPr>
          <w:b w:val="false"/>
          <w:bCs w:val="false"/>
          <w:i w:val="false"/>
          <w:iCs w:val="false"/>
        </w:rPr>
        <w:t xml:space="preserve"> NRB operates the Security Operations Center, and the Supplier provides the following within its warranty and support obligations:</w:t>
      </w:r>
    </w:p>
    <w:p>
      <w:pPr>
        <w:pStyle w:val="ListParagraph"/>
        <w:numPr>
          <w:ilvl w:val="0"/>
          <w:numId w:val="1"/>
        </w:numPr>
        <w:spacing w:after="60"/>
      </w:pPr>
      <w:r>
        <w:rPr>
          <w:b/>
          <w:bCs/>
          <w:i w:val="false"/>
          <w:iCs w:val="false"/>
        </w:rPr>
        <w:t xml:space="preserve">Monthly.</w:t>
      </w:r>
      <w:r>
        <w:rPr>
          <w:b w:val="false"/>
          <w:bCs w:val="false"/>
          <w:i w:val="false"/>
          <w:iCs w:val="false"/>
        </w:rPr>
        <w:t xml:space="preserve"> Patch cycle; vulnerability scan; Security Working Group; cyber security compliance status report.</w:t>
      </w:r>
    </w:p>
    <w:p>
      <w:pPr>
        <w:pStyle w:val="ListParagraph"/>
        <w:numPr>
          <w:ilvl w:val="0"/>
          <w:numId w:val="1"/>
        </w:numPr>
        <w:spacing w:after="60"/>
      </w:pPr>
      <w:r>
        <w:rPr>
          <w:b/>
          <w:bCs/>
          <w:i w:val="false"/>
          <w:iCs w:val="false"/>
        </w:rPr>
        <w:t xml:space="preserve">Quarterly.</w:t>
      </w:r>
      <w:r>
        <w:rPr>
          <w:b w:val="false"/>
          <w:bCs w:val="false"/>
          <w:i w:val="false"/>
          <w:iCs w:val="false"/>
        </w:rPr>
        <w:t xml:space="preserve"> Vulnerability assessment report; privileged access recertification; risk register review.</w:t>
      </w:r>
    </w:p>
    <w:p>
      <w:pPr>
        <w:pStyle w:val="ListParagraph"/>
        <w:numPr>
          <w:ilvl w:val="0"/>
          <w:numId w:val="1"/>
        </w:numPr>
        <w:spacing w:after="60"/>
      </w:pPr>
      <w:r>
        <w:rPr>
          <w:b/>
          <w:bCs/>
          <w:i w:val="false"/>
          <w:iCs w:val="false"/>
        </w:rPr>
        <w:t xml:space="preserve">Annually.</w:t>
      </w:r>
      <w:r>
        <w:rPr>
          <w:b w:val="false"/>
          <w:bCs w:val="false"/>
          <w:i w:val="false"/>
          <w:iCs w:val="false"/>
        </w:rPr>
        <w:t xml:space="preserve"> Independent penetration test; disaster recovery test; incident response exercise; policy review.</w:t>
      </w:r>
    </w:p>
    <w:p>
      <w:pPr>
        <w:spacing w:after="140" w:line="276"/>
      </w:pPr>
      <w:r>
        <w:rPr>
          <w:b w:val="false"/>
          <w:bCs w:val="false"/>
          <w:i w:val="false"/>
          <w:iCs w:val="false"/>
        </w:rPr>
        <w:t xml:space="preserve">Critical vulnerabilities are mitigated within 72 hours and remediated within 14 days, and High within 30 days. On the equipment control systems, where releases follow the manufacturer's schedule, a compensating control is applied within 7 days of a Critical advisory.</w:t>
      </w:r>
    </w:p>
    <w:p>
      <w:pPr>
        <w:spacing w:after="140" w:line="276"/>
      </w:pPr>
      <w:r>
        <w:rPr>
          <w:b/>
          <w:bCs/>
          <w:i w:val="false"/>
          <w:iCs w:val="false"/>
        </w:rPr>
        <w:t xml:space="preserve">Compliance reporting.</w:t>
      </w:r>
      <w:r>
        <w:rPr>
          <w:b w:val="false"/>
          <w:bCs w:val="false"/>
          <w:i w:val="false"/>
          <w:iCs w:val="false"/>
        </w:rPr>
        <w:t xml:space="preserve"> The report required by SCC 19.6(d), on the status of compliance with cyber security risk management and on foreseeable risks and their mitigation, is issued monthly from week 4. It covers control implementation, open vulnerabilities by severity and age, patching, incidents and notifications, changes to the risk register, and certificates nearing expiry.</w:t>
      </w:r>
    </w:p>
    <w:p>
      <w:r>
        <w:br w:type="page"/>
      </w:r>
    </w:p>
    <w:p>
      <w:r>
        <w:br w:type="page"/>
      </w:r>
    </w:p>
    <w:p>
      <w:pPr>
        <w:pStyle w:val="Heading1"/>
        <w:numPr>
          <w:ilvl w:val="0"/>
          <w:numId w:val="2"/>
        </w:numPr>
        <w:spacing w:after="140" w:before="240"/>
      </w:pPr>
      <w:r>
        <w:t xml:space="preserve">I</w:t>
      </w:r>
      <w:bookmarkStart w:name="sec_7" w:id="1"/>
      <w:r>
        <w:rPr>
          <w:b w:val="false"/>
          <w:bCs w:val="false"/>
          <w:i w:val="false"/>
          <w:iCs w:val="false"/>
        </w:rPr>
        <w:t xml:space="preserve">ncident Response Plan</w:t>
      </w:r>
      <w:bookmarkEnd w:id="1"/>
    </w:p>
    <w:p>
      <w:pPr>
        <w:pStyle w:val="Heading2"/>
        <w:numPr>
          <w:ilvl w:val="1"/>
          <w:numId w:val="2"/>
        </w:numPr>
        <w:spacing w:after="140" w:before="260"/>
      </w:pPr>
      <w:r>
        <w:t xml:space="preserve">T</w:t>
      </w:r>
      <w:bookmarkStart w:name="sec_7_1" w:id="1"/>
      <w:r>
        <w:rPr>
          <w:b w:val="false"/>
          <w:bCs w:val="false"/>
          <w:i w:val="false"/>
          <w:iCs w:val="false"/>
        </w:rPr>
        <w:t xml:space="preserve">eam and escalation matrix</w:t>
      </w:r>
      <w:bookmarkEnd w:id="1"/>
    </w:p>
    <w:p>
      <w:pPr>
        <w:spacing w:after="140" w:line="276"/>
      </w:pPr>
      <w:r>
        <w:rPr>
          <w:b w:val="false"/>
          <w:bCs w:val="false"/>
          <w:i w:val="false"/>
          <w:iCs w:val="false"/>
        </w:rPr>
        <w:t xml:space="preserve">The plan is aligned with NIST Special Publication 800-61 Revision 3 and uses the incident classes S1 to S4 defined in System Architecture Section 10.7.</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4"/>
        <w:gridCol w:w="4774"/>
        <w:gridCol w:w="2442"/>
      </w:tblGrid>
      <w:tr>
        <w:trPr>
          <w:tblHeader/>
        </w:trPr>
        <w:tc>
          <w:tcPr>
            <w:tcW w:type="dxa" w:w="180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4774"/>
            <w:shd w:fill="EDEDED" w:val="clear"/>
            <w:tcMar>
              <w:top w:type="dxa" w:w="60"/>
              <w:left w:type="dxa" w:w="100"/>
              <w:bottom w:type="dxa" w:w="60"/>
              <w:right w:type="dxa" w:w="100"/>
            </w:tcMar>
          </w:tcPr>
          <w:p>
            <w:pPr>
              <w:spacing w:after="0" w:before="0"/>
            </w:pPr>
            <w:r>
              <w:rPr>
                <w:b/>
                <w:bCs/>
                <w:i w:val="false"/>
                <w:iCs w:val="false"/>
              </w:rPr>
              <w:t xml:space="preserve">During implementation</w:t>
            </w:r>
          </w:p>
        </w:tc>
        <w:tc>
          <w:tcPr>
            <w:tcW w:type="dxa" w:w="2442"/>
            <w:shd w:fill="EDEDED" w:val="clear"/>
            <w:tcMar>
              <w:top w:type="dxa" w:w="60"/>
              <w:left w:type="dxa" w:w="100"/>
              <w:bottom w:type="dxa" w:w="60"/>
              <w:right w:type="dxa" w:w="100"/>
            </w:tcMar>
          </w:tcPr>
          <w:p>
            <w:pPr>
              <w:spacing w:after="0" w:before="0"/>
            </w:pPr>
            <w:r>
              <w:rPr>
                <w:b/>
                <w:bCs/>
                <w:i w:val="false"/>
                <w:iCs w:val="false"/>
              </w:rPr>
              <w:t xml:space="preserve">From handover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Incident manager</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2442"/>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Technical lead</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2442"/>
            <w:tcMar>
              <w:top w:type="dxa" w:w="60"/>
              <w:left w:type="dxa" w:w="100"/>
              <w:bottom w:type="dxa" w:w="60"/>
              <w:right w:type="dxa" w:w="100"/>
            </w:tcMar>
          </w:tcPr>
          <w:p>
            <w:pPr>
              <w:spacing w:after="0" w:before="0"/>
            </w:pPr>
            <w:r>
              <w:rPr>
                <w:b w:val="false"/>
                <w:bCs w:val="false"/>
                <w:i w:val="false"/>
                <w:iCs w:val="false"/>
              </w:rPr>
              <w:t xml:space="preserve">Supplier security lead, at Level 2 and above</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Security Operations Center analysts</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on-call security engineer</w:t>
            </w:r>
          </w:p>
        </w:tc>
        <w:tc>
          <w:tcPr>
            <w:tcW w:type="dxa" w:w="2442"/>
            <w:tcMar>
              <w:top w:type="dxa" w:w="60"/>
              <w:left w:type="dxa" w:w="100"/>
              <w:bottom w:type="dxa" w:w="60"/>
              <w:right w:type="dxa" w:w="100"/>
            </w:tcMar>
          </w:tcPr>
          <w:p>
            <w:pPr>
              <w:spacing w:after="0" w:before="0"/>
            </w:pPr>
            <w:r>
              <w:rPr>
                <w:b w:val="false"/>
                <w:bCs w:val="false"/>
                <w:i w:val="false"/>
                <w:iCs w:val="false"/>
              </w:rPr>
              <w:t xml:space="preserve">NRB security engineers</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Notified and informed</w:t>
            </w:r>
          </w:p>
        </w:tc>
        <w:tc>
          <w:tcPr>
            <w:tcW w:type="dxa" w:w="4774"/>
            <w:tcMar>
              <w:top w:type="dxa" w:w="60"/>
              <w:left w:type="dxa" w:w="100"/>
              <w:bottom w:type="dxa" w:w="60"/>
              <w:right w:type="dxa" w:w="100"/>
            </w:tcMar>
          </w:tcPr>
          <w:p>
            <w:pPr>
              <w:spacing w:after="0" w:before="0"/>
            </w:pPr>
            <w:r>
              <w:rPr>
                <w:b w:val="false"/>
                <w:bCs w:val="false"/>
                <w:i w:val="false"/>
                <w:iCs w:val="false"/>
              </w:rPr>
              <w:t xml:space="preserve">Purchaser's Project Manager and NRB security officer</w:t>
            </w:r>
          </w:p>
        </w:tc>
        <w:tc>
          <w:tcPr>
            <w:tcW w:type="dxa" w:w="2442"/>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Consulted</w:t>
            </w:r>
          </w:p>
        </w:tc>
        <w:tc>
          <w:tcPr>
            <w:tcW w:type="dxa" w:w="4774"/>
            <w:tcMar>
              <w:top w:type="dxa" w:w="60"/>
              <w:left w:type="dxa" w:w="100"/>
              <w:bottom w:type="dxa" w:w="60"/>
              <w:right w:type="dxa" w:w="100"/>
            </w:tcMar>
          </w:tcPr>
          <w:p>
            <w:pPr>
              <w:spacing w:after="0" w:before="0"/>
            </w:pPr>
            <w:r>
              <w:rPr>
                <w:b w:val="false"/>
                <w:bCs w:val="false"/>
                <w:i w:val="false"/>
                <w:iCs w:val="false"/>
              </w:rPr>
              <w:t xml:space="preserve">NRB data protection officer; e-Government for certificates; the equipment manufacturer for the production lines</w:t>
            </w:r>
          </w:p>
        </w:tc>
        <w:tc>
          <w:tcPr>
            <w:tcW w:type="dxa" w:w="2442"/>
            <w:tcMar>
              <w:top w:type="dxa" w:w="60"/>
              <w:left w:type="dxa" w:w="100"/>
              <w:bottom w:type="dxa" w:w="60"/>
              <w:right w:type="dxa" w:w="100"/>
            </w:tcMar>
          </w:tcPr>
          <w:p>
            <w:pPr>
              <w:spacing w:after="0" w:before="0"/>
            </w:pPr>
            <w:r>
              <w:rPr>
                <w:b w:val="false"/>
                <w:bCs w:val="false"/>
                <w:i w:val="false"/>
                <w:iCs w:val="false"/>
              </w:rPr>
              <w:t xml:space="preserve">The same</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960"/>
        <w:gridCol w:w="3720"/>
        <w:gridCol w:w="2340"/>
      </w:tblGrid>
      <w:tr>
        <w:trPr>
          <w:tblHeader/>
        </w:trPr>
        <w:tc>
          <w:tcPr>
            <w:tcW w:type="dxa" w:w="2960"/>
            <w:shd w:fill="EDEDED" w:val="clear"/>
            <w:tcMar>
              <w:top w:type="dxa" w:w="60"/>
              <w:left w:type="dxa" w:w="100"/>
              <w:bottom w:type="dxa" w:w="60"/>
              <w:right w:type="dxa" w:w="100"/>
            </w:tcMar>
          </w:tcPr>
          <w:p>
            <w:pPr>
              <w:spacing w:after="0" w:before="0"/>
            </w:pPr>
            <w:r>
              <w:rPr>
                <w:b/>
                <w:bCs/>
                <w:i w:val="false"/>
                <w:iCs w:val="false"/>
              </w:rPr>
              <w:t xml:space="preserve">Class and acknowledgement</w:t>
            </w:r>
          </w:p>
        </w:tc>
        <w:tc>
          <w:tcPr>
            <w:tcW w:type="dxa" w:w="3720"/>
            <w:shd w:fill="EDEDED" w:val="clear"/>
            <w:tcMar>
              <w:top w:type="dxa" w:w="60"/>
              <w:left w:type="dxa" w:w="100"/>
              <w:bottom w:type="dxa" w:w="60"/>
              <w:right w:type="dxa" w:w="100"/>
            </w:tcMar>
          </w:tcPr>
          <w:p>
            <w:pPr>
              <w:spacing w:after="0" w:before="0"/>
            </w:pPr>
            <w:r>
              <w:rPr>
                <w:b/>
                <w:bCs/>
                <w:i w:val="false"/>
                <w:iCs w:val="false"/>
              </w:rPr>
              <w:t xml:space="preserve">Escalated to</w:t>
            </w:r>
          </w:p>
        </w:tc>
        <w:tc>
          <w:tcPr>
            <w:tcW w:type="dxa" w:w="2340"/>
            <w:shd w:fill="EDEDED" w:val="clear"/>
            <w:tcMar>
              <w:top w:type="dxa" w:w="60"/>
              <w:left w:type="dxa" w:w="100"/>
              <w:bottom w:type="dxa" w:w="60"/>
              <w:right w:type="dxa" w:w="100"/>
            </w:tcMar>
          </w:tcPr>
          <w:p>
            <w:pPr>
              <w:spacing w:after="0" w:before="0"/>
            </w:pPr>
            <w:r>
              <w:rPr>
                <w:b/>
                <w:bCs/>
                <w:i w:val="false"/>
                <w:iCs w:val="false"/>
              </w:rPr>
              <w:t xml:space="preserve">Purchaser notified</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S1, critical: acknowledged within 15 minutes</w:t>
            </w:r>
          </w:p>
        </w:tc>
        <w:tc>
          <w:tcPr>
            <w:tcW w:type="dxa" w:w="3720"/>
            <w:tcMar>
              <w:top w:type="dxa" w:w="60"/>
              <w:left w:type="dxa" w:w="100"/>
              <w:bottom w:type="dxa" w:w="60"/>
              <w:right w:type="dxa" w:w="100"/>
            </w:tcMar>
          </w:tcPr>
          <w:p>
            <w:pPr>
              <w:spacing w:after="0" w:before="0"/>
            </w:pPr>
            <w:r>
              <w:rPr>
                <w:b w:val="false"/>
                <w:bCs w:val="false"/>
                <w:i w:val="false"/>
                <w:iCs w:val="false"/>
              </w:rPr>
              <w:t xml:space="preserve">Immediately to the incident manager, technical lead, NRB security officer and the Purchaser's Project Manager</w:t>
            </w:r>
          </w:p>
        </w:tc>
        <w:tc>
          <w:tcPr>
            <w:tcW w:type="dxa" w:w="2340"/>
            <w:tcMar>
              <w:top w:type="dxa" w:w="60"/>
              <w:left w:type="dxa" w:w="100"/>
              <w:bottom w:type="dxa" w:w="60"/>
              <w:right w:type="dxa" w:w="100"/>
            </w:tcMar>
          </w:tcPr>
          <w:p>
            <w:pPr>
              <w:spacing w:after="0" w:before="0"/>
            </w:pPr>
            <w:r>
              <w:rPr>
                <w:b w:val="false"/>
                <w:bCs w:val="false"/>
                <w:i w:val="false"/>
                <w:iCs w:val="false"/>
              </w:rPr>
              <w:t xml:space="preserve">Immediately, and 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S2, major: acknowledged within 15 minutes</w:t>
            </w:r>
          </w:p>
        </w:tc>
        <w:tc>
          <w:tcPr>
            <w:tcW w:type="dxa" w:w="3720"/>
            <w:tcMar>
              <w:top w:type="dxa" w:w="60"/>
              <w:left w:type="dxa" w:w="100"/>
              <w:bottom w:type="dxa" w:w="60"/>
              <w:right w:type="dxa" w:w="100"/>
            </w:tcMar>
          </w:tcPr>
          <w:p>
            <w:pPr>
              <w:spacing w:after="0" w:before="0"/>
            </w:pPr>
            <w:r>
              <w:rPr>
                <w:b w:val="false"/>
                <w:bCs w:val="false"/>
                <w:i w:val="false"/>
                <w:iCs w:val="false"/>
              </w:rPr>
              <w:t xml:space="preserve">Immediately to the incident manager, technical lead and NRB security officer</w:t>
            </w:r>
          </w:p>
        </w:tc>
        <w:tc>
          <w:tcPr>
            <w:tcW w:type="dxa" w:w="2340"/>
            <w:tcMar>
              <w:top w:type="dxa" w:w="60"/>
              <w:left w:type="dxa" w:w="100"/>
              <w:bottom w:type="dxa" w:w="60"/>
              <w:right w:type="dxa" w:w="100"/>
            </w:tcMar>
          </w:tcPr>
          <w:p>
            <w:pPr>
              <w:spacing w:after="0" w:before="0"/>
            </w:pPr>
            <w:r>
              <w:rPr>
                <w:b w:val="false"/>
                <w:bCs w:val="false"/>
                <w:i w:val="false"/>
                <w:iCs w:val="false"/>
              </w:rPr>
              <w:t xml:space="preserve">Immediately, and 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S3, moderate: acknowledged within 1 hour</w:t>
            </w:r>
          </w:p>
        </w:tc>
        <w:tc>
          <w:tcPr>
            <w:tcW w:type="dxa" w:w="3720"/>
            <w:tcMar>
              <w:top w:type="dxa" w:w="60"/>
              <w:left w:type="dxa" w:w="100"/>
              <w:bottom w:type="dxa" w:w="60"/>
              <w:right w:type="dxa" w:w="100"/>
            </w:tcMar>
          </w:tcPr>
          <w:p>
            <w:pPr>
              <w:spacing w:after="0" w:before="0"/>
            </w:pPr>
            <w:r>
              <w:rPr>
                <w:b w:val="false"/>
                <w:bCs w:val="false"/>
                <w:i w:val="false"/>
                <w:iCs w:val="false"/>
              </w:rPr>
              <w:t xml:space="preserve">Incident manager and technical lead</w:t>
            </w:r>
          </w:p>
        </w:tc>
        <w:tc>
          <w:tcPr>
            <w:tcW w:type="dxa" w:w="2340"/>
            <w:tcMar>
              <w:top w:type="dxa" w:w="60"/>
              <w:left w:type="dxa" w:w="100"/>
              <w:bottom w:type="dxa" w:w="60"/>
              <w:right w:type="dxa" w:w="100"/>
            </w:tcMar>
          </w:tcPr>
          <w:p>
            <w:pPr>
              <w:spacing w:after="0" w:before="0"/>
            </w:pPr>
            <w:r>
              <w:rPr>
                <w:b w:val="false"/>
                <w:bCs w:val="false"/>
                <w:i w:val="false"/>
                <w:iCs w:val="false"/>
              </w:rPr>
              <w:t xml:space="preserve">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S4, minor: acknowledged next business day</w:t>
            </w:r>
          </w:p>
        </w:tc>
        <w:tc>
          <w:tcPr>
            <w:tcW w:type="dxa" w:w="3720"/>
            <w:tcMar>
              <w:top w:type="dxa" w:w="60"/>
              <w:left w:type="dxa" w:w="100"/>
              <w:bottom w:type="dxa" w:w="60"/>
              <w:right w:type="dxa" w:w="100"/>
            </w:tcMar>
          </w:tcPr>
          <w:p>
            <w:pPr>
              <w:spacing w:after="0" w:before="0"/>
            </w:pPr>
            <w:r>
              <w:rPr>
                <w:b w:val="false"/>
                <w:bCs w:val="false"/>
                <w:i w:val="false"/>
                <w:iCs w:val="false"/>
              </w:rPr>
              <w:t xml:space="preserve">Recorded</w:t>
            </w:r>
          </w:p>
        </w:tc>
        <w:tc>
          <w:tcPr>
            <w:tcW w:type="dxa" w:w="2340"/>
            <w:tcMar>
              <w:top w:type="dxa" w:w="60"/>
              <w:left w:type="dxa" w:w="100"/>
              <w:bottom w:type="dxa" w:w="60"/>
              <w:right w:type="dxa" w:w="100"/>
            </w:tcMar>
          </w:tcPr>
          <w:p>
            <w:pPr>
              <w:spacing w:after="0" w:before="0"/>
            </w:pPr>
            <w:r>
              <w:rPr>
                <w:b w:val="false"/>
                <w:bCs w:val="false"/>
                <w:i w:val="false"/>
                <w:iCs w:val="false"/>
              </w:rPr>
              <w:t xml:space="preserve">In the monthly report</w:t>
            </w:r>
          </w:p>
        </w:tc>
      </w:tr>
    </w:tbl>
    <w:p>
      <w:pPr>
        <w:spacing w:after="140"/>
      </w:pPr>
    </w:p>
    <w:p>
      <w:pPr>
        <w:spacing w:after="140" w:line="276"/>
      </w:pPr>
      <w:r>
        <w:rPr>
          <w:b w:val="false"/>
          <w:bCs w:val="false"/>
          <w:i w:val="false"/>
          <w:iCs w:val="false"/>
        </w:rPr>
        <w:t xml:space="preserve">Names, telephone numbers and email addresses are added at mobilization, verified quarterly and re-issued at handover. S1 and S2 alerts reach on-call staff by SMS as well as on the console.</w:t>
      </w:r>
    </w:p>
    <w:p>
      <w:pPr>
        <w:pStyle w:val="Heading2"/>
        <w:numPr>
          <w:ilvl w:val="1"/>
          <w:numId w:val="2"/>
        </w:numPr>
        <w:spacing w:after="140" w:before="260"/>
      </w:pPr>
      <w:r>
        <w:t xml:space="preserve">R</w:t>
      </w:r>
      <w:bookmarkStart w:name="sec_7_2" w:id="1"/>
      <w:r>
        <w:rPr>
          <w:b w:val="false"/>
          <w:bCs w:val="false"/>
          <w:i w:val="false"/>
          <w:iCs w:val="false"/>
        </w:rPr>
        <w:t xml:space="preserve">esponse process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What is done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Detect and classify</w:t>
            </w:r>
          </w:p>
        </w:tc>
        <w:tc>
          <w:tcPr>
            <w:tcW w:type="dxa" w:w="7570"/>
            <w:tcMar>
              <w:top w:type="dxa" w:w="60"/>
              <w:left w:type="dxa" w:w="100"/>
              <w:bottom w:type="dxa" w:w="60"/>
              <w:right w:type="dxa" w:w="100"/>
            </w:tcMar>
          </w:tcPr>
          <w:p>
            <w:pPr>
              <w:spacing w:after="0" w:before="0"/>
            </w:pPr>
            <w:r>
              <w:rPr>
                <w:b w:val="false"/>
                <w:bCs w:val="false"/>
                <w:i w:val="false"/>
                <w:iCs w:val="false"/>
              </w:rPr>
              <w:t xml:space="preserve">Alert triaged and classified S1 to S4</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Notify</w:t>
            </w:r>
          </w:p>
        </w:tc>
        <w:tc>
          <w:tcPr>
            <w:tcW w:type="dxa" w:w="7570"/>
            <w:tcMar>
              <w:top w:type="dxa" w:w="60"/>
              <w:left w:type="dxa" w:w="100"/>
              <w:bottom w:type="dxa" w:w="60"/>
              <w:right w:type="dxa" w:w="100"/>
            </w:tcMar>
          </w:tcPr>
          <w:p>
            <w:pPr>
              <w:spacing w:after="0" w:before="0"/>
            </w:pPr>
            <w:r>
              <w:rPr>
                <w:b w:val="false"/>
                <w:bCs w:val="false"/>
                <w:i w:val="false"/>
                <w:iCs w:val="false"/>
              </w:rPr>
              <w:t xml:space="preserve">Incident declared and escalated by the matrix; the Purchaser notified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Contain</w:t>
            </w:r>
          </w:p>
        </w:tc>
        <w:tc>
          <w:tcPr>
            <w:tcW w:type="dxa" w:w="7570"/>
            <w:tcMar>
              <w:top w:type="dxa" w:w="60"/>
              <w:left w:type="dxa" w:w="100"/>
              <w:bottom w:type="dxa" w:w="60"/>
              <w:right w:type="dxa" w:w="100"/>
            </w:tcMar>
          </w:tcPr>
          <w:p>
            <w:pPr>
              <w:spacing w:after="0" w:before="0"/>
            </w:pPr>
            <w:r>
              <w:rPr>
                <w:b w:val="false"/>
                <w:bCs w:val="false"/>
                <w:i w:val="false"/>
                <w:iCs w:val="false"/>
              </w:rPr>
              <w:t xml:space="preserve">Affected component isolated, accounts disabled, signing or production suspended where required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Preserve</w:t>
            </w:r>
          </w:p>
        </w:tc>
        <w:tc>
          <w:tcPr>
            <w:tcW w:type="dxa" w:w="7570"/>
            <w:tcMar>
              <w:top w:type="dxa" w:w="60"/>
              <w:left w:type="dxa" w:w="100"/>
              <w:bottom w:type="dxa" w:w="60"/>
              <w:right w:type="dxa" w:w="100"/>
            </w:tcMar>
          </w:tcPr>
          <w:p>
            <w:pPr>
              <w:spacing w:after="0" w:before="0"/>
            </w:pPr>
            <w:r>
              <w:rPr>
                <w:b w:val="false"/>
                <w:bCs w:val="false"/>
                <w:i w:val="false"/>
                <w:iCs w:val="false"/>
              </w:rPr>
              <w:t xml:space="preserve">Logs, memory and disk images captured before anything is rebuilt, under System Architecture Section 10.7</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Investigate</w:t>
            </w:r>
          </w:p>
        </w:tc>
        <w:tc>
          <w:tcPr>
            <w:tcW w:type="dxa" w:w="7570"/>
            <w:tcMar>
              <w:top w:type="dxa" w:w="60"/>
              <w:left w:type="dxa" w:w="100"/>
              <w:bottom w:type="dxa" w:w="60"/>
              <w:right w:type="dxa" w:w="100"/>
            </w:tcMar>
          </w:tcPr>
          <w:p>
            <w:pPr>
              <w:spacing w:after="0" w:before="0"/>
            </w:pPr>
            <w:r>
              <w:rPr>
                <w:b w:val="false"/>
                <w:bCs w:val="false"/>
                <w:i w:val="false"/>
                <w:iCs w:val="false"/>
              </w:rPr>
              <w:t xml:space="preserve">Scope and root cause established, and the cards and citizens affected identified from the audit trail</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Eradicate and recover</w:t>
            </w:r>
          </w:p>
        </w:tc>
        <w:tc>
          <w:tcPr>
            <w:tcW w:type="dxa" w:w="7570"/>
            <w:tcMar>
              <w:top w:type="dxa" w:w="60"/>
              <w:left w:type="dxa" w:w="100"/>
              <w:bottom w:type="dxa" w:w="60"/>
              <w:right w:type="dxa" w:w="100"/>
            </w:tcMar>
          </w:tcPr>
          <w:p>
            <w:pPr>
              <w:spacing w:after="0" w:before="0"/>
            </w:pPr>
            <w:r>
              <w:rPr>
                <w:b w:val="false"/>
                <w:bCs w:val="false"/>
                <w:i w:val="false"/>
                <w:iCs w:val="false"/>
              </w:rPr>
              <w:t xml:space="preserve">Hosts rebuilt from the hardened baselines, credentials rotated, service restored under </w:t>
            </w:r>
            <w:r>
              <w:rPr>
                <w:b w:val="false"/>
                <w:bCs w:val="false"/>
                <w:i w:val="false"/>
                <w:iCs w:val="false"/>
              </w:rPr>
              <w:t xml:space="preserve">Section 8</w:t>
            </w:r>
            <w:r>
              <w:rPr>
                <w:b w:val="false"/>
                <w:bCs w:val="false"/>
                <w:i w:val="false"/>
                <w:iCs w:val="false"/>
              </w:rPr>
              <w:t xml:space="preserve">. After an S1 incident, production resumes only on NRB's written decision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Close</w:t>
            </w:r>
          </w:p>
        </w:tc>
        <w:tc>
          <w:tcPr>
            <w:tcW w:type="dxa" w:w="7570"/>
            <w:tcMar>
              <w:top w:type="dxa" w:w="60"/>
              <w:left w:type="dxa" w:w="100"/>
              <w:bottom w:type="dxa" w:w="60"/>
              <w:right w:type="dxa" w:w="100"/>
            </w:tcMar>
          </w:tcPr>
          <w:p>
            <w:pPr>
              <w:spacing w:after="0" w:before="0"/>
            </w:pPr>
            <w:r>
              <w:rPr>
                <w:b w:val="false"/>
                <w:bCs w:val="false"/>
                <w:i w:val="false"/>
                <w:iCs w:val="false"/>
              </w:rPr>
              <w:t xml:space="preserve">Final report and lessons learned entered in the risk register</w:t>
            </w:r>
          </w:p>
        </w:tc>
      </w:tr>
    </w:tbl>
    <w:p>
      <w:pPr>
        <w:spacing w:after="140"/>
      </w:pPr>
    </w:p>
    <w:p>
      <w:pPr>
        <w:pStyle w:val="Heading2"/>
        <w:numPr>
          <w:ilvl w:val="1"/>
          <w:numId w:val="2"/>
        </w:numPr>
        <w:spacing w:after="140" w:before="260"/>
      </w:pPr>
      <w:r>
        <w:t xml:space="preserve">C</w:t>
      </w:r>
      <w:bookmarkStart w:name="sec_7_3" w:id="1"/>
      <w:r>
        <w:rPr>
          <w:b w:val="false"/>
          <w:bCs w:val="false"/>
          <w:i w:val="false"/>
          <w:iCs w:val="false"/>
        </w:rPr>
        <w:t xml:space="preserve">ontractual incident categories</w:t>
      </w:r>
      <w:bookmarkEnd w:id="1"/>
    </w:p>
    <w:p>
      <w:pPr>
        <w:spacing w:after="140" w:line="276"/>
      </w:pPr>
      <w:r>
        <w:rPr>
          <w:b w:val="false"/>
          <w:bCs w:val="false"/>
          <w:i w:val="false"/>
          <w:iCs w:val="false"/>
        </w:rPr>
        <w:t xml:space="preserve">Each category listed in SCC 19.7 has a playbook. Their first actions 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98"/>
        <w:gridCol w:w="1560"/>
        <w:gridCol w:w="5362"/>
      </w:tblGrid>
      <w:tr>
        <w:trPr>
          <w:tblHeader/>
        </w:trPr>
        <w:tc>
          <w:tcPr>
            <w:tcW w:type="dxa" w:w="2098"/>
            <w:shd w:fill="EDEDED" w:val="clear"/>
            <w:tcMar>
              <w:top w:type="dxa" w:w="60"/>
              <w:left w:type="dxa" w:w="100"/>
              <w:bottom w:type="dxa" w:w="60"/>
              <w:right w:type="dxa" w:w="100"/>
            </w:tcMar>
          </w:tcPr>
          <w:p>
            <w:pPr>
              <w:spacing w:after="0" w:before="0"/>
            </w:pPr>
            <w:r>
              <w:rPr>
                <w:b/>
                <w:bCs/>
                <w:i w:val="false"/>
                <w:iCs w:val="false"/>
              </w:rPr>
              <w:t xml:space="preserve">SCC 19.7 category</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5362"/>
            <w:shd w:fill="EDEDED" w:val="clear"/>
            <w:tcMar>
              <w:top w:type="dxa" w:w="60"/>
              <w:left w:type="dxa" w:w="100"/>
              <w:bottom w:type="dxa" w:w="60"/>
              <w:right w:type="dxa" w:w="100"/>
            </w:tcMar>
          </w:tcPr>
          <w:p>
            <w:pPr>
              <w:spacing w:after="0" w:before="0"/>
            </w:pPr>
            <w:r>
              <w:rPr>
                <w:b/>
                <w:bCs/>
                <w:i w:val="false"/>
                <w:iCs w:val="false"/>
              </w:rPr>
              <w:t xml:space="preserve">First actions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(a) Personal data breach</w:t>
            </w:r>
          </w:p>
        </w:tc>
        <w:tc>
          <w:tcPr>
            <w:tcW w:type="dxa" w:w="1560"/>
            <w:tcMar>
              <w:top w:type="dxa" w:w="60"/>
              <w:left w:type="dxa" w:w="100"/>
              <w:bottom w:type="dxa" w:w="60"/>
              <w:right w:type="dxa" w:w="100"/>
            </w:tcMar>
          </w:tcPr>
          <w:p>
            <w:pPr>
              <w:spacing w:after="0" w:before="0"/>
            </w:pPr>
            <w:r>
              <w:rPr>
                <w:b w:val="false"/>
                <w:bCs w:val="false"/>
                <w:i w:val="false"/>
                <w:iCs w:val="false"/>
              </w:rPr>
              <w:t xml:space="preserve">S1 if exfiltration is confirmed, otherwise S2</w:t>
            </w:r>
          </w:p>
        </w:tc>
        <w:tc>
          <w:tcPr>
            <w:tcW w:type="dxa" w:w="5362"/>
            <w:tcMar>
              <w:top w:type="dxa" w:w="60"/>
              <w:left w:type="dxa" w:w="100"/>
              <w:bottom w:type="dxa" w:w="60"/>
              <w:right w:type="dxa" w:w="100"/>
            </w:tcMar>
          </w:tcPr>
          <w:p>
            <w:pPr>
              <w:spacing w:after="0" w:before="0"/>
            </w:pPr>
            <w:r>
              <w:rPr>
                <w:b w:val="false"/>
                <w:bCs w:val="false"/>
                <w:i w:val="false"/>
                <w:iCs w:val="false"/>
              </w:rPr>
              <w:t xml:space="preserve">Block the outbound path; disable the accounts involved; isolate the host; identify the records affected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(b) Biometric data breach</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As for (a); identify the batches present at the time, which bounds the citizens affected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(c) Cryptographic key compromise</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Suspend signing; withdraw the Signing Service's module credentials; ask e-Government to revoke the certificate; list the cards signed in the affected period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(d) Unauthorized card production or issuance</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job; quarantine the cards; secure the camera record; suspend the accounts involved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(e) Ransomware and malware</w:t>
            </w:r>
          </w:p>
        </w:tc>
        <w:tc>
          <w:tcPr>
            <w:tcW w:type="dxa" w:w="1560"/>
            <w:tcMar>
              <w:top w:type="dxa" w:w="60"/>
              <w:left w:type="dxa" w:w="100"/>
              <w:bottom w:type="dxa" w:w="60"/>
              <w:right w:type="dxa" w:w="100"/>
            </w:tcMar>
          </w:tcPr>
          <w:p>
            <w:pPr>
              <w:spacing w:after="0" w:before="0"/>
            </w:pPr>
            <w:r>
              <w:rPr>
                <w:b w:val="false"/>
                <w:bCs w:val="false"/>
                <w:i w:val="false"/>
                <w:iCs w:val="false"/>
              </w:rPr>
              <w:t xml:space="preserve">S1, or S2 for a single contained host</w:t>
            </w:r>
          </w:p>
        </w:tc>
        <w:tc>
          <w:tcPr>
            <w:tcW w:type="dxa" w:w="5362"/>
            <w:tcMar>
              <w:top w:type="dxa" w:w="60"/>
              <w:left w:type="dxa" w:w="100"/>
              <w:bottom w:type="dxa" w:w="60"/>
              <w:right w:type="dxa" w:w="100"/>
            </w:tcMar>
          </w:tcPr>
          <w:p>
            <w:pPr>
              <w:spacing w:after="0" w:before="0"/>
            </w:pPr>
            <w:r>
              <w:rPr>
                <w:b w:val="false"/>
                <w:bCs w:val="false"/>
                <w:i w:val="false"/>
                <w:iCs w:val="false"/>
              </w:rPr>
              <w:t xml:space="preserve">Isolate the segment; disable compromised accounts; preserve evidence; recover from immutable backups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(f) Unauthorized privileged access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it reaches signing or the production lines</w:t>
            </w:r>
          </w:p>
        </w:tc>
        <w:tc>
          <w:tcPr>
            <w:tcW w:type="dxa" w:w="5362"/>
            <w:tcMar>
              <w:top w:type="dxa" w:w="60"/>
              <w:left w:type="dxa" w:w="100"/>
              <w:bottom w:type="dxa" w:w="60"/>
              <w:right w:type="dxa" w:w="100"/>
            </w:tcMar>
          </w:tcPr>
          <w:p>
            <w:pPr>
              <w:spacing w:after="0" w:before="0"/>
            </w:pPr>
            <w:r>
              <w:rPr>
                <w:b w:val="false"/>
                <w:bCs w:val="false"/>
                <w:i w:val="false"/>
                <w:iCs w:val="false"/>
              </w:rPr>
              <w:t xml:space="preserve">Terminate sessions; disable the account; rotate the credentials it could reach</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(g) Compromise of personalization systems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cards were produced improperly</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affected line while the other continues; verify against the integrity baseline</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(h) Compromise of mailing systems</w:t>
            </w:r>
          </w:p>
        </w:tc>
        <w:tc>
          <w:tcPr>
            <w:tcW w:type="dxa" w:w="1560"/>
            <w:tcMar>
              <w:top w:type="dxa" w:w="60"/>
              <w:left w:type="dxa" w:w="100"/>
              <w:bottom w:type="dxa" w:w="60"/>
              <w:right w:type="dxa" w:w="100"/>
            </w:tcMar>
          </w:tcPr>
          <w:p>
            <w:pPr>
              <w:spacing w:after="0" w:before="0"/>
            </w:pPr>
            <w:r>
              <w:rPr>
                <w:b w:val="false"/>
                <w:bCs w:val="false"/>
                <w:i w:val="false"/>
                <w:iCs w:val="false"/>
              </w:rPr>
              <w:t xml:space="preserve">S2</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affected line; hold and re-check its mail pieces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(i) Fraudulent card production or issuance attempts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a card was produced</w:t>
            </w:r>
          </w:p>
        </w:tc>
        <w:tc>
          <w:tcPr>
            <w:tcW w:type="dxa" w:w="5362"/>
            <w:tcMar>
              <w:top w:type="dxa" w:w="60"/>
              <w:left w:type="dxa" w:w="100"/>
              <w:bottom w:type="dxa" w:w="60"/>
              <w:right w:type="dxa" w:w="100"/>
            </w:tcMar>
          </w:tcPr>
          <w:p>
            <w:pPr>
              <w:spacing w:after="0" w:before="0"/>
            </w:pPr>
            <w:r>
              <w:rPr>
                <w:b w:val="false"/>
                <w:bCs w:val="false"/>
                <w:i w:val="false"/>
                <w:iCs w:val="false"/>
              </w:rPr>
              <w:t xml:space="preserve">Preserve the records; restrict the accounts involved; report to NRB</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(j) Incident likely to affect NRIS</w:t>
            </w:r>
          </w:p>
        </w:tc>
        <w:tc>
          <w:tcPr>
            <w:tcW w:type="dxa" w:w="1560"/>
            <w:tcMar>
              <w:top w:type="dxa" w:w="60"/>
              <w:left w:type="dxa" w:w="100"/>
              <w:bottom w:type="dxa" w:w="60"/>
              <w:right w:type="dxa" w:w="100"/>
            </w:tcMar>
          </w:tcPr>
          <w:p>
            <w:pPr>
              <w:spacing w:after="0" w:before="0"/>
            </w:pPr>
            <w:r>
              <w:rPr>
                <w:b w:val="false"/>
                <w:bCs w:val="false"/>
                <w:i w:val="false"/>
                <w:iCs w:val="false"/>
              </w:rPr>
              <w:t xml:space="preserve">S1 or S2 by effect</w:t>
            </w:r>
          </w:p>
        </w:tc>
        <w:tc>
          <w:tcPr>
            <w:tcW w:type="dxa" w:w="5362"/>
            <w:tcMar>
              <w:top w:type="dxa" w:w="60"/>
              <w:left w:type="dxa" w:w="100"/>
              <w:bottom w:type="dxa" w:w="60"/>
              <w:right w:type="dxa" w:w="100"/>
            </w:tcMar>
          </w:tcPr>
          <w:p>
            <w:pPr>
              <w:spacing w:after="0" w:before="0"/>
            </w:pPr>
            <w:r>
              <w:rPr>
                <w:b w:val="false"/>
                <w:bCs w:val="false"/>
                <w:i w:val="false"/>
                <w:iCs w:val="false"/>
              </w:rPr>
              <w:t xml:space="preserve">Suspend the exchange with NRIS; revoke the interface certificate if compromise is suspected; notify NRB</w:t>
            </w:r>
          </w:p>
        </w:tc>
      </w:tr>
    </w:tbl>
    <w:p>
      <w:pPr>
        <w:spacing w:after="140"/>
      </w:pPr>
    </w:p>
    <w:p>
      <w:pPr>
        <w:pStyle w:val="Heading2"/>
        <w:numPr>
          <w:ilvl w:val="1"/>
          <w:numId w:val="2"/>
        </w:numPr>
        <w:spacing w:after="140" w:before="260"/>
      </w:pPr>
      <w:r>
        <w:t xml:space="preserve">N</w:t>
      </w:r>
      <w:bookmarkStart w:name="sec_7_4" w:id="1"/>
      <w:r>
        <w:rPr>
          <w:b w:val="false"/>
          <w:bCs w:val="false"/>
          <w:i w:val="false"/>
          <w:iCs w:val="false"/>
        </w:rPr>
        <w:t xml:space="preserve">otification and reporting</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2004"/>
        <w:gridCol w:w="5456"/>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Report</w:t>
            </w:r>
          </w:p>
        </w:tc>
        <w:tc>
          <w:tcPr>
            <w:tcW w:type="dxa" w:w="2004"/>
            <w:shd w:fill="EDEDED" w:val="clear"/>
            <w:tcMar>
              <w:top w:type="dxa" w:w="60"/>
              <w:left w:type="dxa" w:w="100"/>
              <w:bottom w:type="dxa" w:w="60"/>
              <w:right w:type="dxa" w:w="100"/>
            </w:tcMar>
          </w:tcPr>
          <w:p>
            <w:pPr>
              <w:spacing w:after="0" w:before="0"/>
            </w:pPr>
            <w:r>
              <w:rPr>
                <w:b/>
                <w:bCs/>
                <w:i w:val="false"/>
                <w:iCs w:val="false"/>
              </w:rPr>
              <w:t xml:space="preserve">When</w:t>
            </w:r>
          </w:p>
        </w:tc>
        <w:tc>
          <w:tcPr>
            <w:tcW w:type="dxa" w:w="5456"/>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Initial notification</w:t>
            </w:r>
          </w:p>
        </w:tc>
        <w:tc>
          <w:tcPr>
            <w:tcW w:type="dxa" w:w="2004"/>
            <w:tcMar>
              <w:top w:type="dxa" w:w="60"/>
              <w:left w:type="dxa" w:w="100"/>
              <w:bottom w:type="dxa" w:w="60"/>
              <w:right w:type="dxa" w:w="100"/>
            </w:tcMar>
          </w:tcPr>
          <w:p>
            <w:pPr>
              <w:spacing w:after="0" w:before="0"/>
            </w:pPr>
            <w:r>
              <w:rPr>
                <w:b w:val="false"/>
                <w:bCs w:val="false"/>
                <w:i w:val="false"/>
                <w:iCs w:val="false"/>
              </w:rPr>
              <w:t xml:space="preserve">Immediately on detection</w:t>
            </w:r>
          </w:p>
        </w:tc>
        <w:tc>
          <w:tcPr>
            <w:tcW w:type="dxa" w:w="5456"/>
            <w:tcMar>
              <w:top w:type="dxa" w:w="60"/>
              <w:left w:type="dxa" w:w="100"/>
              <w:bottom w:type="dxa" w:w="60"/>
              <w:right w:type="dxa" w:w="100"/>
            </w:tcMar>
          </w:tcPr>
          <w:p>
            <w:pPr>
              <w:spacing w:after="0" w:before="0"/>
            </w:pPr>
            <w:r>
              <w:rPr>
                <w:b w:val="false"/>
                <w:bCs w:val="false"/>
                <w:i w:val="false"/>
                <w:iCs w:val="false"/>
              </w:rPr>
              <w:t xml:space="preserve">What has been seen, its class, and the first actions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Written report</w:t>
            </w:r>
          </w:p>
        </w:tc>
        <w:tc>
          <w:tcPr>
            <w:tcW w:type="dxa" w:w="2004"/>
            <w:tcMar>
              <w:top w:type="dxa" w:w="60"/>
              <w:left w:type="dxa" w:w="100"/>
              <w:bottom w:type="dxa" w:w="60"/>
              <w:right w:type="dxa" w:w="100"/>
            </w:tcMar>
          </w:tcPr>
          <w:p>
            <w:pPr>
              <w:spacing w:after="0" w:before="0"/>
            </w:pPr>
            <w:r>
              <w:rPr>
                <w:b w:val="false"/>
                <w:bCs w:val="false"/>
                <w:i w:val="false"/>
                <w:iCs w:val="false"/>
              </w:rPr>
              <w:t xml:space="preserve">Within 24 hours</w:t>
            </w:r>
          </w:p>
        </w:tc>
        <w:tc>
          <w:tcPr>
            <w:tcW w:type="dxa" w:w="5456"/>
            <w:tcMar>
              <w:top w:type="dxa" w:w="60"/>
              <w:left w:type="dxa" w:w="100"/>
              <w:bottom w:type="dxa" w:w="60"/>
              <w:right w:type="dxa" w:w="100"/>
            </w:tcMar>
          </w:tcPr>
          <w:p>
            <w:pPr>
              <w:spacing w:after="0" w:before="0"/>
            </w:pPr>
            <w:r>
              <w:rPr>
                <w:b w:val="false"/>
                <w:bCs w:val="false"/>
                <w:i w:val="false"/>
                <w:iCs w:val="false"/>
              </w:rPr>
              <w:t xml:space="preserve">What happened; systems, data and cards potentially affected; containment so far; next update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Final report</w:t>
            </w:r>
          </w:p>
        </w:tc>
        <w:tc>
          <w:tcPr>
            <w:tcW w:type="dxa" w:w="2004"/>
            <w:tcMar>
              <w:top w:type="dxa" w:w="60"/>
              <w:left w:type="dxa" w:w="100"/>
              <w:bottom w:type="dxa" w:w="60"/>
              <w:right w:type="dxa" w:w="100"/>
            </w:tcMar>
          </w:tcPr>
          <w:p>
            <w:pPr>
              <w:spacing w:after="0" w:before="0"/>
            </w:pPr>
            <w:r>
              <w:rPr>
                <w:b w:val="false"/>
                <w:bCs w:val="false"/>
                <w:i w:val="false"/>
                <w:iCs w:val="false"/>
              </w:rPr>
              <w:t xml:space="preserve">Within 10 business days of containment</w:t>
            </w:r>
          </w:p>
        </w:tc>
        <w:tc>
          <w:tcPr>
            <w:tcW w:type="dxa" w:w="5456"/>
            <w:tcMar>
              <w:top w:type="dxa" w:w="60"/>
              <w:left w:type="dxa" w:w="100"/>
              <w:bottom w:type="dxa" w:w="60"/>
              <w:right w:type="dxa" w:w="100"/>
            </w:tcMar>
          </w:tcPr>
          <w:p>
            <w:pPr>
              <w:spacing w:after="0" w:before="0"/>
            </w:pPr>
            <w:r>
              <w:rPr>
                <w:b w:val="false"/>
                <w:bCs w:val="false"/>
                <w:i w:val="false"/>
                <w:iCs w:val="false"/>
              </w:rPr>
              <w:t xml:space="preserve">Timeline, root cause, cards and citizens affected, actions, lessons learned</w:t>
            </w:r>
          </w:p>
        </w:tc>
      </w:tr>
    </w:tbl>
    <w:p>
      <w:pPr>
        <w:spacing w:after="140"/>
      </w:pPr>
    </w:p>
    <w:p>
      <w:pPr>
        <w:spacing w:after="140" w:line="276"/>
      </w:pPr>
      <w:r>
        <w:rPr>
          <w:b w:val="false"/>
          <w:bCs w:val="false"/>
          <w:i w:val="false"/>
          <w:iCs w:val="false"/>
        </w:rPr>
        <w:t xml:space="preserve">NRB, as data controller, decides on and makes any notification required by the Data Protection Act 2024 and any report to law enforcement, supported by the Supplier's reports. The Supplier makes no public statement. The plan is exercised in week 28 and annually, and reviewed after every S1 or S2 incident.</w:t>
      </w:r>
    </w:p>
    <w:p>
      <w:r>
        <w:br w:type="page"/>
      </w:r>
    </w:p>
    <w:p>
      <w:r>
        <w:br w:type="page"/>
      </w:r>
    </w:p>
    <w:p>
      <w:pPr>
        <w:pStyle w:val="Heading1"/>
        <w:numPr>
          <w:ilvl w:val="0"/>
          <w:numId w:val="2"/>
        </w:numPr>
        <w:spacing w:after="140" w:before="240"/>
      </w:pPr>
      <w:r>
        <w:t xml:space="preserve">B</w:t>
      </w:r>
      <w:bookmarkStart w:name="sec_8" w:id="1"/>
      <w:r>
        <w:rPr>
          <w:b w:val="false"/>
          <w:bCs w:val="false"/>
          <w:i w:val="false"/>
          <w:iCs w:val="false"/>
        </w:rPr>
        <w:t xml:space="preserve">usiness Continuity Response Plan</w:t>
      </w:r>
      <w:bookmarkEnd w:id="1"/>
    </w:p>
    <w:p>
      <w:pPr>
        <w:pStyle w:val="Heading2"/>
        <w:numPr>
          <w:ilvl w:val="1"/>
          <w:numId w:val="2"/>
        </w:numPr>
        <w:spacing w:after="140" w:before="260"/>
      </w:pPr>
      <w:r>
        <w:t xml:space="preserve">R</w:t>
      </w:r>
      <w:bookmarkStart w:name="sec_8_1" w:id="1"/>
      <w:r>
        <w:rPr>
          <w:b w:val="false"/>
          <w:bCs w:val="false"/>
          <w:i w:val="false"/>
          <w:iCs w:val="false"/>
        </w:rPr>
        <w:t xml:space="preserve">ecovery targets and scenarios</w:t>
      </w:r>
      <w:bookmarkEnd w:id="1"/>
    </w:p>
    <w:p>
      <w:pPr>
        <w:spacing w:after="140" w:line="276"/>
      </w:pPr>
      <w:r>
        <w:rPr>
          <w:b w:val="false"/>
          <w:bCs w:val="false"/>
          <w:i w:val="false"/>
          <w:iCs w:val="false"/>
        </w:rPr>
        <w:t xml:space="preserve">NRIS is the system of record, so a disruption delays cards and does not lose them, provided the record of every card produced and in progress, and the means of signing cards, are preserved. The recovery targets are those of System Architecture Section 9.3: automatic failover within 60 seconds, full service recovery within 5 to 15 minutes, data loss of not more than 5 minutes, and availability of not less than 99 percent. They are confirmed with the Purchaser during design.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77"/>
        <w:gridCol w:w="6743"/>
      </w:tblGrid>
      <w:tr>
        <w:trPr>
          <w:tblHeader/>
        </w:trPr>
        <w:tc>
          <w:tcPr>
            <w:tcW w:type="dxa" w:w="2277"/>
            <w:shd w:fill="EDEDED" w:val="clear"/>
            <w:tcMar>
              <w:top w:type="dxa" w:w="60"/>
              <w:left w:type="dxa" w:w="100"/>
              <w:bottom w:type="dxa" w:w="60"/>
              <w:right w:type="dxa" w:w="100"/>
            </w:tcMar>
          </w:tcPr>
          <w:p>
            <w:pPr>
              <w:spacing w:after="0" w:before="0"/>
            </w:pPr>
            <w:r>
              <w:rPr>
                <w:b/>
                <w:bCs/>
                <w:i w:val="false"/>
                <w:iCs w:val="false"/>
              </w:rPr>
              <w:t xml:space="preserve">Scenario</w:t>
            </w:r>
          </w:p>
        </w:tc>
        <w:tc>
          <w:tcPr>
            <w:tcW w:type="dxa" w:w="6743"/>
            <w:shd w:fill="EDEDED" w:val="clear"/>
            <w:tcMar>
              <w:top w:type="dxa" w:w="60"/>
              <w:left w:type="dxa" w:w="100"/>
              <w:bottom w:type="dxa" w:w="60"/>
              <w:right w:type="dxa" w:w="100"/>
            </w:tcMar>
          </w:tcPr>
          <w:p>
            <w:pPr>
              <w:spacing w:after="0" w:before="0"/>
            </w:pPr>
            <w:r>
              <w:rPr>
                <w:b/>
                <w:bCs/>
                <w:i w:val="false"/>
                <w:iCs w:val="false"/>
              </w:rPr>
              <w:t xml:space="preserve">Response and decision</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a host, database node, switch, firewall or storage controller</w:t>
            </w:r>
          </w:p>
        </w:tc>
        <w:tc>
          <w:tcPr>
            <w:tcW w:type="dxa" w:w="6743"/>
            <w:tcMar>
              <w:top w:type="dxa" w:w="60"/>
              <w:left w:type="dxa" w:w="100"/>
              <w:bottom w:type="dxa" w:w="60"/>
              <w:right w:type="dxa" w:w="100"/>
            </w:tcMar>
          </w:tcPr>
          <w:p>
            <w:pPr>
              <w:spacing w:after="0" w:before="0"/>
            </w:pPr>
            <w:r>
              <w:rPr>
                <w:b w:val="false"/>
                <w:bCs w:val="false"/>
                <w:i w:val="false"/>
                <w:iCs w:val="false"/>
              </w:rPr>
              <w:t xml:space="preserve">Automatic failover within the facility; the component repaired under the support model</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the hardware security module at the primary site</w:t>
            </w:r>
          </w:p>
        </w:tc>
        <w:tc>
          <w:tcPr>
            <w:tcW w:type="dxa" w:w="6743"/>
            <w:tcMar>
              <w:top w:type="dxa" w:w="60"/>
              <w:left w:type="dxa" w:w="100"/>
              <w:bottom w:type="dxa" w:w="60"/>
              <w:right w:type="dxa" w:w="100"/>
            </w:tcMar>
          </w:tcPr>
          <w:p>
            <w:pPr>
              <w:spacing w:after="0" w:before="0"/>
            </w:pPr>
            <w:r>
              <w:rPr>
                <w:b w:val="false"/>
                <w:bCs w:val="false"/>
                <w:i w:val="false"/>
                <w:iCs w:val="false"/>
              </w:rPr>
              <w:t xml:space="preserve">Signing continues on the module at the secondary site, over the encrypted connection between the sites; the module replaced under the support model</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a personalization or mailing line</w:t>
            </w:r>
          </w:p>
        </w:tc>
        <w:tc>
          <w:tcPr>
            <w:tcW w:type="dxa" w:w="6743"/>
            <w:tcMar>
              <w:top w:type="dxa" w:w="60"/>
              <w:left w:type="dxa" w:w="100"/>
              <w:bottom w:type="dxa" w:w="60"/>
              <w:right w:type="dxa" w:w="100"/>
            </w:tcMar>
          </w:tcPr>
          <w:p>
            <w:pPr>
              <w:spacing w:after="0" w:before="0"/>
            </w:pPr>
            <w:r>
              <w:rPr>
                <w:b w:val="false"/>
                <w:bCs w:val="false"/>
                <w:i w:val="false"/>
                <w:iCs w:val="false"/>
              </w:rPr>
              <w:t xml:space="preserve">Production continues on the other line</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the primary storage array or site</w:t>
            </w:r>
          </w:p>
        </w:tc>
        <w:tc>
          <w:tcPr>
            <w:tcW w:type="dxa" w:w="6743"/>
            <w:tcMar>
              <w:top w:type="dxa" w:w="60"/>
              <w:left w:type="dxa" w:w="100"/>
              <w:bottom w:type="dxa" w:w="60"/>
              <w:right w:type="dxa" w:w="100"/>
            </w:tcMar>
          </w:tcPr>
          <w:p>
            <w:pPr>
              <w:spacing w:after="0" w:before="0"/>
            </w:pPr>
            <w:r>
              <w:rPr>
                <w:b w:val="false"/>
                <w:bCs w:val="false"/>
                <w:i w:val="false"/>
                <w:iCs w:val="false"/>
              </w:rPr>
              <w:t xml:space="preserve">The secondary environment carries the data and application services and keeps every record available to NRIS; production resumes when the primary platform and equipment are available. Invoked by NRB's business continuity manager</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Ransomware or a destructive attack</w:t>
            </w:r>
          </w:p>
        </w:tc>
        <w:tc>
          <w:tcPr>
            <w:tcW w:type="dxa" w:w="6743"/>
            <w:tcMar>
              <w:top w:type="dxa" w:w="60"/>
              <w:left w:type="dxa" w:w="100"/>
              <w:bottom w:type="dxa" w:w="60"/>
              <w:right w:type="dxa" w:w="100"/>
            </w:tcMar>
          </w:tcPr>
          <w:p>
            <w:pPr>
              <w:spacing w:after="0" w:before="0"/>
            </w:pPr>
            <w:r>
              <w:rPr>
                <w:b w:val="false"/>
                <w:bCs w:val="false"/>
                <w:i w:val="false"/>
                <w:iCs w:val="false"/>
              </w:rPr>
              <w:t xml:space="preserve">Incident Response Plan first. Hosts rebuilt from the hardened baselines; data restored from the most recent immutable copy verified as clean, on an isolated segment; credentials replaced. The secondary environment is checked before it is trusted, because replication may have carried the damage. Directed by the incident manager, with NRB</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both hardware security modules, or compromise of the signing key</w:t>
            </w:r>
          </w:p>
        </w:tc>
        <w:tc>
          <w:tcPr>
            <w:tcW w:type="dxa" w:w="6743"/>
            <w:tcMar>
              <w:top w:type="dxa" w:w="60"/>
              <w:left w:type="dxa" w:w="100"/>
              <w:bottom w:type="dxa" w:w="60"/>
              <w:right w:type="dxa" w:w="100"/>
            </w:tcMar>
          </w:tcPr>
          <w:p>
            <w:pPr>
              <w:spacing w:after="0" w:before="0"/>
            </w:pPr>
            <w:r>
              <w:rPr>
                <w:b w:val="false"/>
                <w:bCs w:val="false"/>
                <w:i w:val="false"/>
                <w:iCs w:val="false"/>
              </w:rPr>
              <w:t xml:space="preserve">New key pair generated at a ceremony and a new certificate requested from e-Government. Decided by NRB</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Government Wide Area Network or NRIS unavailable</w:t>
            </w:r>
          </w:p>
        </w:tc>
        <w:tc>
          <w:tcPr>
            <w:tcW w:type="dxa" w:w="6743"/>
            <w:tcMar>
              <w:top w:type="dxa" w:w="60"/>
              <w:left w:type="dxa" w:w="100"/>
              <w:bottom w:type="dxa" w:w="60"/>
              <w:right w:type="dxa" w:w="100"/>
            </w:tcMar>
          </w:tcPr>
          <w:p>
            <w:pPr>
              <w:spacing w:after="0" w:before="0"/>
            </w:pPr>
            <w:r>
              <w:rPr>
                <w:b w:val="false"/>
                <w:bCs w:val="false"/>
                <w:i w:val="false"/>
                <w:iCs w:val="false"/>
              </w:rPr>
              <w:t xml:space="preserve">Production continues on records already retrieved; status events held and sent on restoration, under System Architecture Section 7.15</w:t>
            </w:r>
          </w:p>
        </w:tc>
      </w:tr>
    </w:tbl>
    <w:p>
      <w:pPr>
        <w:spacing w:after="140"/>
      </w:pPr>
    </w:p>
    <w:p>
      <w:pPr>
        <w:spacing w:after="140" w:line="276"/>
      </w:pPr>
      <w:r>
        <w:rPr>
          <w:b w:val="false"/>
          <w:bCs w:val="false"/>
          <w:i w:val="false"/>
          <w:iCs w:val="false"/>
        </w:rPr>
        <w:t xml:space="preserve">Restoration follows a fixed order, so that each service depends only on what is already running: network and directory, security monitoring, database, integration gateway, application services, Signing Service, then the production lines.</w:t>
      </w:r>
    </w:p>
    <w:p>
      <w:pPr>
        <w:pStyle w:val="Heading2"/>
        <w:numPr>
          <w:ilvl w:val="1"/>
          <w:numId w:val="2"/>
        </w:numPr>
        <w:spacing w:after="140" w:before="260"/>
      </w:pPr>
      <w:r>
        <w:t xml:space="preserve">A</w:t>
      </w:r>
      <w:bookmarkStart w:name="sec_8_2" w:id="1"/>
      <w:r>
        <w:rPr>
          <w:b w:val="false"/>
          <w:bCs w:val="false"/>
          <w:i w:val="false"/>
          <w:iCs w:val="false"/>
        </w:rPr>
        <w:t xml:space="preserve">ctivation, communication and testing</w:t>
      </w:r>
      <w:bookmarkEnd w:id="1"/>
    </w:p>
    <w:p>
      <w:pPr>
        <w:spacing w:after="140" w:line="276"/>
      </w:pPr>
      <w:r>
        <w:rPr>
          <w:b w:val="false"/>
          <w:bCs w:val="false"/>
          <w:i w:val="false"/>
          <w:iCs w:val="false"/>
        </w:rPr>
        <w:t xml:space="preserve">Failover within the facility is automatic. Invocation of the secondary environment and the response to a site loss are decided by NRB's business continuity manager on the advice of the Supplier's technical lead. NRB communicates with registration offices and the public; the Supplier keeps NRB management, the NRIS team and, for a security incident, the Purchaser's Project Manager informed.</w:t>
      </w:r>
    </w:p>
    <w:p>
      <w:pPr>
        <w:spacing w:after="140" w:line="276"/>
      </w:pPr>
      <w:r>
        <w:rPr>
          <w:b w:val="false"/>
          <w:bCs w:val="false"/>
          <w:i w:val="false"/>
          <w:iCs w:val="false"/>
        </w:rPr>
        <w:t xml:space="preserve">Security is not relaxed during recovery. The secondary environment has its own firewall, encryption and monitoring, break-glass access raises an alert and is rotated after use, emergency changes are reviewed afterwards, and restored data is verified before service resumes.</w:t>
      </w:r>
    </w:p>
    <w:p>
      <w:pPr>
        <w:spacing w:after="140" w:line="276"/>
      </w:pPr>
      <w:r>
        <w:rPr>
          <w:b w:val="false"/>
          <w:bCs w:val="false"/>
          <w:i w:val="false"/>
          <w:iCs w:val="false"/>
        </w:rPr>
        <w:t xml:space="preserve">Recovery is tested, not only written:</w:t>
      </w:r>
    </w:p>
    <w:p>
      <w:pPr>
        <w:pStyle w:val="ListParagraph"/>
        <w:numPr>
          <w:ilvl w:val="0"/>
          <w:numId w:val="1"/>
        </w:numPr>
        <w:spacing w:after="60"/>
      </w:pPr>
      <w:r>
        <w:rPr>
          <w:b/>
          <w:bCs/>
          <w:i w:val="false"/>
          <w:iCs w:val="false"/>
        </w:rPr>
        <w:t xml:space="preserve">Week 20.</w:t>
      </w:r>
      <w:r>
        <w:rPr>
          <w:b w:val="false"/>
          <w:bCs w:val="false"/>
          <w:i w:val="false"/>
          <w:iCs w:val="false"/>
        </w:rPr>
        <w:t xml:space="preserve"> Pre-commissioning test 13: backup, restoration and failover to the secondary environment.</w:t>
      </w:r>
    </w:p>
    <w:p>
      <w:pPr>
        <w:pStyle w:val="ListParagraph"/>
        <w:numPr>
          <w:ilvl w:val="0"/>
          <w:numId w:val="1"/>
        </w:numPr>
        <w:spacing w:after="60"/>
      </w:pPr>
      <w:r>
        <w:rPr>
          <w:b/>
          <w:bCs/>
          <w:i w:val="false"/>
          <w:iCs w:val="false"/>
        </w:rPr>
        <w:t xml:space="preserve">Week 27.</w:t>
      </w:r>
      <w:r>
        <w:rPr>
          <w:b w:val="false"/>
          <w:bCs w:val="false"/>
          <w:i w:val="false"/>
          <w:iCs w:val="false"/>
        </w:rPr>
        <w:t xml:space="preserve"> Operational acceptance test 11: backup and restoration in live operation.</w:t>
      </w:r>
    </w:p>
    <w:p>
      <w:pPr>
        <w:pStyle w:val="ListParagraph"/>
        <w:numPr>
          <w:ilvl w:val="0"/>
          <w:numId w:val="1"/>
        </w:numPr>
        <w:spacing w:after="60"/>
      </w:pPr>
      <w:r>
        <w:rPr>
          <w:b/>
          <w:bCs/>
          <w:i w:val="false"/>
          <w:iCs w:val="false"/>
        </w:rPr>
        <w:t xml:space="preserve">Annually.</w:t>
      </w:r>
      <w:r>
        <w:rPr>
          <w:b w:val="false"/>
          <w:bCs w:val="false"/>
          <w:i w:val="false"/>
          <w:iCs w:val="false"/>
        </w:rPr>
        <w:t xml:space="preserve"> Disaster recovery test, simulating full system failure, with the recovery point and time achieved recorded.</w:t>
      </w:r>
    </w:p>
    <w:p>
      <w:pPr>
        <w:spacing w:after="140" w:line="276"/>
      </w:pPr>
      <w:r>
        <w:rPr>
          <w:b w:val="false"/>
          <w:bCs w:val="false"/>
          <w:i w:val="false"/>
          <w:iCs w:val="false"/>
        </w:rPr>
        <w:t xml:space="preserve">The business continuity and disaster recovery procedures are delivered in week 19, and corrected after every test.</w:t>
      </w:r>
    </w:p>
    <w:p>
      <w:r>
        <w:br w:type="page"/>
      </w:r>
    </w:p>
    <w:p>
      <w:r>
        <w:br w:type="page"/>
      </w:r>
    </w:p>
    <w:p>
      <w:pPr>
        <w:pStyle w:val="Heading1"/>
        <w:numPr>
          <w:ilvl w:val="0"/>
          <w:numId w:val="2"/>
        </w:numPr>
        <w:spacing w:after="140" w:before="240"/>
      </w:pPr>
      <w:r>
        <w:t xml:space="preserve">R</w:t>
      </w:r>
      <w:bookmarkStart w:name="sec_9" w:id="1"/>
      <w:r>
        <w:rPr>
          <w:b w:val="false"/>
          <w:bCs w:val="false"/>
          <w:i w:val="false"/>
          <w:iCs w:val="false"/>
        </w:rPr>
        <w:t xml:space="preserve">esources, Schedule and Capacity Building</w:t>
      </w:r>
      <w:bookmarkEnd w:id="1"/>
    </w:p>
    <w:p>
      <w:pPr>
        <w:pStyle w:val="Heading2"/>
        <w:numPr>
          <w:ilvl w:val="1"/>
          <w:numId w:val="2"/>
        </w:numPr>
        <w:spacing w:after="140" w:before="260"/>
      </w:pPr>
      <w:r>
        <w:t xml:space="preserve">C</w:t>
      </w:r>
      <w:bookmarkStart w:name="sec_9_1" w:id="1"/>
      <w:r>
        <w:rPr>
          <w:b w:val="false"/>
          <w:bCs w:val="false"/>
          <w:i w:val="false"/>
          <w:iCs w:val="false"/>
        </w:rPr>
        <w:t xml:space="preserve">ybersecurity work breakdown structure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4614"/>
        <w:gridCol w:w="2626"/>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Work package</w:t>
            </w:r>
          </w:p>
        </w:tc>
        <w:tc>
          <w:tcPr>
            <w:tcW w:type="dxa" w:w="4614"/>
            <w:shd w:fill="EDEDED" w:val="clear"/>
            <w:tcMar>
              <w:top w:type="dxa" w:w="60"/>
              <w:left w:type="dxa" w:w="100"/>
              <w:bottom w:type="dxa" w:w="60"/>
              <w:right w:type="dxa" w:w="100"/>
            </w:tcMar>
          </w:tcPr>
          <w:p>
            <w:pPr>
              <w:spacing w:after="0" w:before="0"/>
            </w:pPr>
            <w:r>
              <w:rPr>
                <w:b/>
                <w:bCs/>
                <w:i w:val="false"/>
                <w:iCs w:val="false"/>
              </w:rPr>
              <w:t xml:space="preserve">Main deliverables</w:t>
            </w:r>
          </w:p>
        </w:tc>
        <w:tc>
          <w:tcPr>
            <w:tcW w:type="dxa" w:w="2626"/>
            <w:shd w:fill="EDEDED" w:val="clear"/>
            <w:tcMar>
              <w:top w:type="dxa" w:w="60"/>
              <w:left w:type="dxa" w:w="100"/>
              <w:bottom w:type="dxa" w:w="60"/>
              <w:right w:type="dxa" w:w="100"/>
            </w:tcMar>
          </w:tcPr>
          <w:p>
            <w:pPr>
              <w:spacing w:after="0" w:before="0"/>
            </w:pPr>
            <w:r>
              <w:rPr>
                <w:b/>
                <w:bCs/>
                <w:i w:val="false"/>
                <w:iCs w:val="false"/>
              </w:rPr>
              <w:t xml:space="preserve">Weeks and lead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1. Governance and management</w:t>
            </w:r>
          </w:p>
        </w:tc>
        <w:tc>
          <w:tcPr>
            <w:tcW w:type="dxa" w:w="4614"/>
            <w:tcMar>
              <w:top w:type="dxa" w:w="60"/>
              <w:left w:type="dxa" w:w="100"/>
              <w:bottom w:type="dxa" w:w="60"/>
              <w:right w:type="dxa" w:w="100"/>
            </w:tcMar>
          </w:tcPr>
          <w:p>
            <w:pPr>
              <w:spacing w:after="0" w:before="0"/>
            </w:pPr>
            <w:r>
              <w:rPr>
                <w:b w:val="false"/>
                <w:bCs w:val="false"/>
                <w:i w:val="false"/>
                <w:iCs w:val="false"/>
              </w:rPr>
              <w:t xml:space="preserve">Security Working Group; policies; monthly compliance reports</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 to 32;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2. Risk management</w:t>
            </w:r>
          </w:p>
        </w:tc>
        <w:tc>
          <w:tcPr>
            <w:tcW w:type="dxa" w:w="4614"/>
            <w:tcMar>
              <w:top w:type="dxa" w:w="60"/>
              <w:left w:type="dxa" w:w="100"/>
              <w:bottom w:type="dxa" w:w="60"/>
              <w:right w:type="dxa" w:w="100"/>
            </w:tcMar>
          </w:tcPr>
          <w:p>
            <w:pPr>
              <w:spacing w:after="0" w:before="0"/>
            </w:pPr>
            <w:r>
              <w:rPr>
                <w:b w:val="false"/>
                <w:bCs w:val="false"/>
                <w:i w:val="false"/>
                <w:iCs w:val="false"/>
              </w:rPr>
              <w:t xml:space="preserve">Risk register; threat model; Privacy Impact Assessment; risk acceptance at handover</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 to 32;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3. Security design</w:t>
            </w:r>
          </w:p>
        </w:tc>
        <w:tc>
          <w:tcPr>
            <w:tcW w:type="dxa" w:w="4614"/>
            <w:tcMar>
              <w:top w:type="dxa" w:w="60"/>
              <w:left w:type="dxa" w:w="100"/>
              <w:bottom w:type="dxa" w:w="60"/>
              <w:right w:type="dxa" w:w="100"/>
            </w:tcMar>
          </w:tcPr>
          <w:p>
            <w:pPr>
              <w:spacing w:after="0" w:before="0"/>
            </w:pPr>
            <w:r>
              <w:rPr>
                <w:b w:val="false"/>
                <w:bCs w:val="false"/>
                <w:i w:val="false"/>
                <w:iCs w:val="false"/>
              </w:rPr>
              <w:t xml:space="preserve">Security Design Documentation; hardening guide; detection rules</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 to 17; Solution Architect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4. Secure build and supply chain</w:t>
            </w:r>
          </w:p>
        </w:tc>
        <w:tc>
          <w:tcPr>
            <w:tcW w:type="dxa" w:w="4614"/>
            <w:tcMar>
              <w:top w:type="dxa" w:w="60"/>
              <w:left w:type="dxa" w:w="100"/>
              <w:bottom w:type="dxa" w:w="60"/>
              <w:right w:type="dxa" w:w="100"/>
            </w:tcMar>
          </w:tcPr>
          <w:p>
            <w:pPr>
              <w:spacing w:after="0" w:before="0"/>
            </w:pPr>
            <w:r>
              <w:rPr>
                <w:b w:val="false"/>
                <w:bCs w:val="false"/>
                <w:i w:val="false"/>
                <w:iCs w:val="false"/>
              </w:rPr>
              <w:t xml:space="preserve">Release gate records; equipment hardening and integrity baseline; delivery inspection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 to 21; Software Integration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5. Security implementation</w:t>
            </w:r>
          </w:p>
        </w:tc>
        <w:tc>
          <w:tcPr>
            <w:tcW w:type="dxa" w:w="4614"/>
            <w:tcMar>
              <w:top w:type="dxa" w:w="60"/>
              <w:left w:type="dxa" w:w="100"/>
              <w:bottom w:type="dxa" w:w="60"/>
              <w:right w:type="dxa" w:w="100"/>
            </w:tcMar>
          </w:tcPr>
          <w:p>
            <w:pPr>
              <w:spacing w:after="0" w:before="0"/>
            </w:pPr>
            <w:r>
              <w:rPr>
                <w:b w:val="false"/>
                <w:bCs w:val="false"/>
                <w:i w:val="false"/>
                <w:iCs w:val="false"/>
              </w:rPr>
              <w:t xml:space="preserve">Hardened platform and security stack; key ceremony; secondary environment; Machine Control Zone; integration with NRB's Security Operations Center</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15 to 25; Network Engineer and CPF Infrastructure Engineer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6. Security testing</w:t>
            </w:r>
          </w:p>
        </w:tc>
        <w:tc>
          <w:tcPr>
            <w:tcW w:type="dxa" w:w="4614"/>
            <w:tcMar>
              <w:top w:type="dxa" w:w="60"/>
              <w:left w:type="dxa" w:w="100"/>
              <w:bottom w:type="dxa" w:w="60"/>
              <w:right w:type="dxa" w:w="100"/>
            </w:tcMar>
          </w:tcPr>
          <w:p>
            <w:pPr>
              <w:spacing w:after="0" w:before="0"/>
            </w:pPr>
            <w:r>
              <w:rPr>
                <w:b w:val="false"/>
                <w:bCs w:val="false"/>
                <w:i w:val="false"/>
                <w:iCs w:val="false"/>
              </w:rPr>
              <w:t xml:space="preserve">Pre-commissioning tests 5 and 13; security test report; penetration test and retest; operational acceptance tests 9 to 12</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19 to 27; Quality Assurance and Testing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7. Incident response and continuity</w:t>
            </w:r>
          </w:p>
        </w:tc>
        <w:tc>
          <w:tcPr>
            <w:tcW w:type="dxa" w:w="4614"/>
            <w:tcMar>
              <w:top w:type="dxa" w:w="60"/>
              <w:left w:type="dxa" w:w="100"/>
              <w:bottom w:type="dxa" w:w="60"/>
              <w:right w:type="dxa" w:w="100"/>
            </w:tcMar>
          </w:tcPr>
          <w:p>
            <w:pPr>
              <w:spacing w:after="0" w:before="0"/>
            </w:pPr>
            <w:r>
              <w:rPr>
                <w:b w:val="false"/>
                <w:bCs w:val="false"/>
                <w:i w:val="false"/>
                <w:iCs w:val="false"/>
              </w:rPr>
              <w:t xml:space="preserve">Incident Response Plan; Business Continuity Response Plan; exercise report</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2 to 28;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8. Capacity building</w:t>
            </w:r>
          </w:p>
        </w:tc>
        <w:tc>
          <w:tcPr>
            <w:tcW w:type="dxa" w:w="4614"/>
            <w:tcMar>
              <w:top w:type="dxa" w:w="60"/>
              <w:left w:type="dxa" w:w="100"/>
              <w:bottom w:type="dxa" w:w="60"/>
              <w:right w:type="dxa" w:w="100"/>
            </w:tcMar>
          </w:tcPr>
          <w:p>
            <w:pPr>
              <w:spacing w:after="0" w:before="0"/>
            </w:pPr>
            <w:r>
              <w:rPr>
                <w:b w:val="false"/>
                <w:bCs w:val="false"/>
                <w:i w:val="false"/>
                <w:iCs w:val="false"/>
              </w:rPr>
              <w:t xml:space="preserve">Shadowing; security training; Security Operations Center run by NRB under observation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15 to 30; Training and Change Management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9. Handover</w:t>
            </w:r>
          </w:p>
        </w:tc>
        <w:tc>
          <w:tcPr>
            <w:tcW w:type="dxa" w:w="4614"/>
            <w:tcMar>
              <w:top w:type="dxa" w:w="60"/>
              <w:left w:type="dxa" w:w="100"/>
              <w:bottom w:type="dxa" w:w="60"/>
              <w:right w:type="dxa" w:w="100"/>
            </w:tcMar>
          </w:tcPr>
          <w:p>
            <w:pPr>
              <w:spacing w:after="0" w:before="0"/>
            </w:pPr>
            <w:r>
              <w:rPr>
                <w:b w:val="false"/>
                <w:bCs w:val="false"/>
                <w:i w:val="false"/>
                <w:iCs w:val="false"/>
              </w:rPr>
              <w:t xml:space="preserve">Transfer of the Security Operations Center; credential rotation; as-built security documentation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31 to 32; Cybersecurity and PKI Specialist</w:t>
            </w:r>
          </w:p>
        </w:tc>
      </w:tr>
    </w:tbl>
    <w:p>
      <w:pPr>
        <w:spacing w:after="140"/>
      </w:pPr>
    </w:p>
    <w:p>
      <w:pPr>
        <w:pStyle w:val="Heading2"/>
        <w:numPr>
          <w:ilvl w:val="1"/>
          <w:numId w:val="2"/>
        </w:numPr>
        <w:spacing w:after="140" w:before="260"/>
      </w:pPr>
      <w:r>
        <w:t xml:space="preserve">T</w:t>
      </w:r>
      <w:bookmarkStart w:name="sec_9_2" w:id="1"/>
      <w:r>
        <w:rPr>
          <w:b w:val="false"/>
          <w:bCs w:val="false"/>
          <w:i w:val="false"/>
          <w:iCs w:val="false"/>
        </w:rPr>
        <w:t xml:space="preserve">imeline</w:t>
      </w:r>
      <w:bookmarkEnd w:id="1"/>
    </w:p>
    <w:p>
      <w:pPr>
        <w:spacing w:after="120" w:before="200"/>
        <w:jc w:val="center"/>
      </w:pPr>
      <w:r>
        <w:drawing>
          <wp:inline distT="0" distB="0" distL="0" distR="0">
            <wp:extent cx="5715000" cy="417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b w:val="false"/>
          <w:bCs w:val="false"/>
          <w:i/>
          <w:iCs/>
        </w:rPr>
        <w:t xml:space="preserve">Figure 9.1: Cybersecurity timeline by work package, against the ten contractual milestones of the Information System schedule in Preliminary Project Plan Section 2.2. Solid bars are the Supplier's work; hatched bars are performed with or by NRB; open diamonds are security gates and events.</w:t>
      </w:r>
    </w:p>
    <w:p>
      <w:pPr>
        <w:pStyle w:val="Heading2"/>
        <w:numPr>
          <w:ilvl w:val="1"/>
          <w:numId w:val="2"/>
        </w:numPr>
        <w:spacing w:after="140" w:before="260"/>
      </w:pPr>
      <w:r>
        <w:t xml:space="preserve">R</w:t>
      </w:r>
      <w:bookmarkStart w:name="sec_9_3" w:id="1"/>
      <w:r>
        <w:rPr>
          <w:b w:val="false"/>
          <w:bCs w:val="false"/>
          <w:i w:val="false"/>
          <w:iCs w:val="false"/>
        </w:rPr>
        <w:t xml:space="preserve">esource and skill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59"/>
        <w:gridCol w:w="3972"/>
        <w:gridCol w:w="2589"/>
      </w:tblGrid>
      <w:tr>
        <w:trPr>
          <w:tblHeader/>
        </w:trPr>
        <w:tc>
          <w:tcPr>
            <w:tcW w:type="dxa" w:w="2459"/>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3972"/>
            <w:shd w:fill="EDEDED" w:val="clear"/>
            <w:tcMar>
              <w:top w:type="dxa" w:w="60"/>
              <w:left w:type="dxa" w:w="100"/>
              <w:bottom w:type="dxa" w:w="60"/>
              <w:right w:type="dxa" w:w="100"/>
            </w:tcMar>
          </w:tcPr>
          <w:p>
            <w:pPr>
              <w:spacing w:after="0" w:before="0"/>
            </w:pPr>
            <w:r>
              <w:rPr>
                <w:b/>
                <w:bCs/>
                <w:i w:val="false"/>
                <w:iCs w:val="false"/>
              </w:rPr>
              <w:t xml:space="preserve">Leads</w:t>
            </w:r>
          </w:p>
        </w:tc>
        <w:tc>
          <w:tcPr>
            <w:tcW w:type="dxa" w:w="2589"/>
            <w:shd w:fill="EDEDED" w:val="clear"/>
            <w:tcMar>
              <w:top w:type="dxa" w:w="60"/>
              <w:left w:type="dxa" w:w="100"/>
              <w:bottom w:type="dxa" w:w="60"/>
              <w:right w:type="dxa" w:w="100"/>
            </w:tcMar>
          </w:tcPr>
          <w:p>
            <w:pPr>
              <w:spacing w:after="0" w:before="0"/>
            </w:pPr>
            <w:r>
              <w:rPr>
                <w:b/>
                <w:bCs/>
                <w:i w:val="false"/>
                <w:iCs w:val="false"/>
              </w:rPr>
              <w:t xml:space="preserve">Contributes to</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Cybersecurity and PKI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Governance and risk; PKI and key management; monitoring and incident response; security testing; knowledge transfer</w:t>
            </w:r>
          </w:p>
        </w:tc>
        <w:tc>
          <w:tcPr>
            <w:tcW w:type="dxa" w:w="2589"/>
            <w:tcMar>
              <w:top w:type="dxa" w:w="60"/>
              <w:left w:type="dxa" w:w="100"/>
              <w:bottom w:type="dxa" w:w="60"/>
              <w:right w:type="dxa" w:w="100"/>
            </w:tcMar>
          </w:tcPr>
          <w:p>
            <w:pPr>
              <w:spacing w:after="0" w:before="0"/>
            </w:pPr>
            <w:r>
              <w:rPr>
                <w:b w:val="false"/>
                <w:bCs w:val="false"/>
                <w:i w:val="false"/>
                <w:iCs w:val="false"/>
              </w:rPr>
              <w:t xml:space="preserve">Network security; application security; equipment control systems</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Solution Architect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architecture and design</w:t>
            </w:r>
          </w:p>
        </w:tc>
        <w:tc>
          <w:tcPr>
            <w:tcW w:type="dxa" w:w="2589"/>
            <w:tcMar>
              <w:top w:type="dxa" w:w="60"/>
              <w:left w:type="dxa" w:w="100"/>
              <w:bottom w:type="dxa" w:w="60"/>
              <w:right w:type="dxa" w:w="100"/>
            </w:tcMar>
          </w:tcPr>
          <w:p>
            <w:pPr>
              <w:spacing w:after="0" w:before="0"/>
            </w:pPr>
            <w:r>
              <w:rPr>
                <w:b w:val="false"/>
                <w:bCs w:val="false"/>
                <w:i w:val="false"/>
                <w:iCs w:val="false"/>
              </w:rPr>
              <w:t xml:space="preserve">Risk assessment; PKI; application security;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Network zones, firewalls and intrusion prevention</w:t>
            </w:r>
          </w:p>
        </w:tc>
        <w:tc>
          <w:tcPr>
            <w:tcW w:type="dxa" w:w="2589"/>
            <w:tcMar>
              <w:top w:type="dxa" w:w="60"/>
              <w:left w:type="dxa" w:w="100"/>
              <w:bottom w:type="dxa" w:w="60"/>
              <w:right w:type="dxa" w:w="100"/>
            </w:tcMar>
          </w:tcPr>
          <w:p>
            <w:pPr>
              <w:spacing w:after="0" w:before="0"/>
            </w:pPr>
            <w:r>
              <w:rPr>
                <w:b w:val="false"/>
                <w:bCs w:val="false"/>
                <w:i w:val="false"/>
                <w:iCs w:val="false"/>
              </w:rPr>
              <w:t xml:space="preserve">Monitoring; Machine Control Zone;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CPF Infrastructure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Hardened platform, secondary environment, backup and recovery</w:t>
            </w:r>
          </w:p>
        </w:tc>
        <w:tc>
          <w:tcPr>
            <w:tcW w:type="dxa" w:w="2589"/>
            <w:tcMar>
              <w:top w:type="dxa" w:w="60"/>
              <w:left w:type="dxa" w:w="100"/>
              <w:bottom w:type="dxa" w:w="60"/>
              <w:right w:type="dxa" w:w="100"/>
            </w:tcMar>
          </w:tcPr>
          <w:p>
            <w:pPr>
              <w:spacing w:after="0" w:before="0"/>
            </w:pPr>
            <w:r>
              <w:rPr>
                <w:b w:val="false"/>
                <w:bCs w:val="false"/>
                <w:i w:val="false"/>
                <w:iCs w:val="false"/>
              </w:rPr>
              <w:t xml:space="preserve">Monitoring; key management infrastructure;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Software Integration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Secure development and interface security</w:t>
            </w:r>
          </w:p>
        </w:tc>
        <w:tc>
          <w:tcPr>
            <w:tcW w:type="dxa" w:w="2589"/>
            <w:tcMar>
              <w:top w:type="dxa" w:w="60"/>
              <w:left w:type="dxa" w:w="100"/>
              <w:bottom w:type="dxa" w:w="60"/>
              <w:right w:type="dxa" w:w="100"/>
            </w:tcMar>
          </w:tcPr>
          <w:p>
            <w:pPr>
              <w:spacing w:after="0" w:before="0"/>
            </w:pPr>
            <w:r>
              <w:rPr>
                <w:b w:val="false"/>
                <w:bCs w:val="false"/>
                <w:i w:val="false"/>
                <w:iCs w:val="false"/>
              </w:rPr>
              <w:t xml:space="preserve">PKI for interface certificates;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Secure Personalization System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Equipment control systems, with the manufacturer</w:t>
            </w:r>
          </w:p>
        </w:tc>
        <w:tc>
          <w:tcPr>
            <w:tcW w:type="dxa" w:w="2589"/>
            <w:tcMar>
              <w:top w:type="dxa" w:w="60"/>
              <w:left w:type="dxa" w:w="100"/>
              <w:bottom w:type="dxa" w:w="60"/>
              <w:right w:type="dxa" w:w="100"/>
            </w:tcMar>
          </w:tcPr>
          <w:p>
            <w:pPr>
              <w:spacing w:after="0" w:before="0"/>
            </w:pPr>
            <w:r>
              <w:rPr>
                <w:b w:val="false"/>
                <w:bCs w:val="false"/>
                <w:i w:val="false"/>
                <w:iCs w:val="false"/>
              </w:rPr>
              <w:t xml:space="preserve">Knowledge transfer</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Quality Assurance and Testing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test programme and traceability</w:t>
            </w:r>
          </w:p>
        </w:tc>
        <w:tc>
          <w:tcPr>
            <w:tcW w:type="dxa" w:w="2589"/>
            <w:tcMar>
              <w:top w:type="dxa" w:w="60"/>
              <w:left w:type="dxa" w:w="100"/>
              <w:bottom w:type="dxa" w:w="60"/>
              <w:right w:type="dxa" w:w="100"/>
            </w:tcMar>
          </w:tcPr>
          <w:p>
            <w:pPr>
              <w:spacing w:after="0" w:before="0"/>
            </w:pPr>
            <w:r>
              <w:rPr>
                <w:b w:val="false"/>
                <w:bCs w:val="false"/>
                <w:i w:val="false"/>
                <w:iCs w:val="false"/>
              </w:rPr>
              <w:t xml:space="preserve">Risk assessment</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training delivery</w:t>
            </w:r>
          </w:p>
        </w:tc>
        <w:tc>
          <w:tcPr>
            <w:tcW w:type="dxa" w:w="2589"/>
            <w:tcMar>
              <w:top w:type="dxa" w:w="60"/>
              <w:left w:type="dxa" w:w="100"/>
              <w:bottom w:type="dxa" w:w="60"/>
              <w:right w:type="dxa" w:w="100"/>
            </w:tcMar>
          </w:tcPr>
          <w:p>
            <w:pPr>
              <w:spacing w:after="0" w:before="0"/>
            </w:pPr>
            <w:r>
              <w:rPr>
                <w:b w:val="false"/>
                <w:bCs w:val="false"/>
                <w:i w:val="false"/>
                <w:iCs w:val="false"/>
              </w:rPr>
              <w:t xml:space="preserve"/>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Supplier security engineers</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monitoring and on-call response until handover</w:t>
            </w:r>
          </w:p>
        </w:tc>
        <w:tc>
          <w:tcPr>
            <w:tcW w:type="dxa" w:w="2589"/>
            <w:tcMar>
              <w:top w:type="dxa" w:w="60"/>
              <w:left w:type="dxa" w:w="100"/>
              <w:bottom w:type="dxa" w:w="60"/>
              <w:right w:type="dxa" w:w="100"/>
            </w:tcMar>
          </w:tcPr>
          <w:p>
            <w:pPr>
              <w:spacing w:after="0" w:before="0"/>
            </w:pPr>
            <w:r>
              <w:rPr>
                <w:b w:val="false"/>
                <w:bCs w:val="false"/>
                <w:i w:val="false"/>
                <w:iCs w:val="false"/>
              </w:rPr>
              <w:t xml:space="preserve">Testing; knowledge transfer</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Independent penetration tester</w:t>
            </w:r>
          </w:p>
        </w:tc>
        <w:tc>
          <w:tcPr>
            <w:tcW w:type="dxa" w:w="3972"/>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2589"/>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22"/>
        <w:gridCol w:w="5018"/>
        <w:gridCol w:w="2180"/>
      </w:tblGrid>
      <w:tr>
        <w:trPr>
          <w:tblHeader/>
        </w:trPr>
        <w:tc>
          <w:tcPr>
            <w:tcW w:type="dxa" w:w="1822"/>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5018"/>
            <w:shd w:fill="EDEDED" w:val="clear"/>
            <w:tcMar>
              <w:top w:type="dxa" w:w="60"/>
              <w:left w:type="dxa" w:w="100"/>
              <w:bottom w:type="dxa" w:w="60"/>
              <w:right w:type="dxa" w:w="100"/>
            </w:tcMar>
          </w:tcPr>
          <w:p>
            <w:pPr>
              <w:spacing w:after="0" w:before="0"/>
            </w:pPr>
            <w:r>
              <w:rPr>
                <w:b/>
                <w:bCs/>
                <w:i w:val="false"/>
                <w:iCs w:val="false"/>
              </w:rPr>
              <w:t xml:space="preserve">Qualifications</w:t>
            </w:r>
          </w:p>
        </w:tc>
        <w:tc>
          <w:tcPr>
            <w:tcW w:type="dxa" w:w="2180"/>
            <w:shd w:fill="EDEDED" w:val="clear"/>
            <w:tcMar>
              <w:top w:type="dxa" w:w="60"/>
              <w:left w:type="dxa" w:w="100"/>
              <w:bottom w:type="dxa" w:w="60"/>
              <w:right w:type="dxa" w:w="100"/>
            </w:tcMar>
          </w:tcPr>
          <w:p>
            <w:pPr>
              <w:spacing w:after="0" w:before="0"/>
            </w:pPr>
            <w:r>
              <w:rPr>
                <w:b/>
                <w:bCs/>
                <w:i w:val="false"/>
                <w:iCs w:val="false"/>
              </w:rPr>
              <w:t xml:space="preserve">Engagement</w:t>
            </w:r>
          </w:p>
        </w:tc>
      </w:tr>
      <w:tr>
        <w:tc>
          <w:tcPr>
            <w:tcW w:type="dxa" w:w="1822"/>
            <w:tcMar>
              <w:top w:type="dxa" w:w="60"/>
              <w:left w:type="dxa" w:w="100"/>
              <w:bottom w:type="dxa" w:w="60"/>
              <w:right w:type="dxa" w:w="100"/>
            </w:tcMar>
          </w:tcPr>
          <w:p>
            <w:pPr>
              <w:spacing w:after="0" w:before="0"/>
            </w:pPr>
            <w:r>
              <w:rPr>
                <w:b w:val="false"/>
                <w:bCs w:val="false"/>
                <w:i w:val="false"/>
                <w:iCs w:val="false"/>
              </w:rPr>
              <w:t xml:space="preserve">Cybersecurity and PKI Specialist, proposed for the Cyber Security Expert position</w:t>
            </w:r>
          </w:p>
        </w:tc>
        <w:tc>
          <w:tcPr>
            <w:tcW w:type="dxa" w:w="5018"/>
            <w:tcMar>
              <w:top w:type="dxa" w:w="60"/>
              <w:left w:type="dxa" w:w="100"/>
              <w:bottom w:type="dxa" w:w="60"/>
              <w:right w:type="dxa" w:w="100"/>
            </w:tcMar>
          </w:tcPr>
          <w:p>
            <w:pPr>
              <w:spacing w:after="0" w:before="0"/>
            </w:pPr>
            <w:r>
              <w:rPr>
                <w:b w:val="false"/>
                <w:bCs w:val="false"/>
                <w:i w:val="false"/>
                <w:iCs w:val="false"/>
              </w:rPr>
              <w:t xml:space="preserve">Degree in cybersecurity, computer science or information security; at least seven years in cybersecurity, three in identity management or PKI; CISSP, CISM and CEH; experience with hardware security modules, encryption and certificates</w:t>
            </w:r>
          </w:p>
        </w:tc>
        <w:tc>
          <w:tcPr>
            <w:tcW w:type="dxa" w:w="2180"/>
            <w:tcMar>
              <w:top w:type="dxa" w:w="60"/>
              <w:left w:type="dxa" w:w="100"/>
              <w:bottom w:type="dxa" w:w="60"/>
              <w:right w:type="dxa" w:w="100"/>
            </w:tcMar>
          </w:tcPr>
          <w:p>
            <w:pPr>
              <w:spacing w:after="0" w:before="0"/>
            </w:pPr>
            <w:r>
              <w:rPr>
                <w:b w:val="false"/>
                <w:bCs w:val="false"/>
                <w:i w:val="false"/>
                <w:iCs w:val="false"/>
              </w:rPr>
              <w:t xml:space="preserve">Weeks 1 to 32, on site from week 15; then Level 2 security support through the warranty period</w:t>
            </w:r>
          </w:p>
        </w:tc>
      </w:tr>
      <w:tr>
        <w:tc>
          <w:tcPr>
            <w:tcW w:type="dxa" w:w="1822"/>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5018"/>
            <w:tcMar>
              <w:top w:type="dxa" w:w="60"/>
              <w:left w:type="dxa" w:w="100"/>
              <w:bottom w:type="dxa" w:w="60"/>
              <w:right w:type="dxa" w:w="100"/>
            </w:tcMar>
          </w:tcPr>
          <w:p>
            <w:pPr>
              <w:spacing w:after="0" w:before="0"/>
            </w:pPr>
            <w:r>
              <w:rPr>
                <w:b w:val="false"/>
                <w:bCs w:val="false"/>
                <w:i w:val="false"/>
                <w:iCs w:val="false"/>
              </w:rPr>
              <w:t xml:space="preserve">CCNA and CCNP; at least five years on firewalls and secure government networks</w:t>
            </w:r>
          </w:p>
        </w:tc>
        <w:tc>
          <w:tcPr>
            <w:tcW w:type="dxa" w:w="2180"/>
            <w:tcMar>
              <w:top w:type="dxa" w:w="60"/>
              <w:left w:type="dxa" w:w="100"/>
              <w:bottom w:type="dxa" w:w="60"/>
              <w:right w:type="dxa" w:w="100"/>
            </w:tcMar>
          </w:tcPr>
          <w:p>
            <w:pPr>
              <w:spacing w:after="0" w:before="0"/>
            </w:pPr>
            <w:r>
              <w:rPr>
                <w:b w:val="false"/>
                <w:bCs w:val="false"/>
                <w:i w:val="false"/>
                <w:iCs w:val="false"/>
              </w:rPr>
              <w:t xml:space="preserve">Design; weeks 15 to 23</w:t>
            </w:r>
          </w:p>
        </w:tc>
      </w:tr>
      <w:tr>
        <w:tc>
          <w:tcPr>
            <w:tcW w:type="dxa" w:w="1822"/>
            <w:tcMar>
              <w:top w:type="dxa" w:w="60"/>
              <w:left w:type="dxa" w:w="100"/>
              <w:bottom w:type="dxa" w:w="60"/>
              <w:right w:type="dxa" w:w="100"/>
            </w:tcMar>
          </w:tcPr>
          <w:p>
            <w:pPr>
              <w:spacing w:after="0" w:before="0"/>
            </w:pPr>
            <w:r>
              <w:rPr>
                <w:b w:val="false"/>
                <w:bCs w:val="false"/>
                <w:i w:val="false"/>
                <w:iCs w:val="false"/>
              </w:rPr>
              <w:t xml:space="preserve">Supplier security engineers</w:t>
            </w:r>
          </w:p>
        </w:tc>
        <w:tc>
          <w:tcPr>
            <w:tcW w:type="dxa" w:w="5018"/>
            <w:tcMar>
              <w:top w:type="dxa" w:w="60"/>
              <w:left w:type="dxa" w:w="100"/>
              <w:bottom w:type="dxa" w:w="60"/>
              <w:right w:type="dxa" w:w="100"/>
            </w:tcMar>
          </w:tcPr>
          <w:p>
            <w:pPr>
              <w:spacing w:after="0" w:before="0"/>
            </w:pPr>
            <w:r>
              <w:rPr>
                <w:b w:val="false"/>
                <w:bCs w:val="false"/>
                <w:i w:val="false"/>
                <w:iCs w:val="false"/>
              </w:rPr>
              <w:t xml:space="preserve">Experience in security monitoring and incident response</w:t>
            </w:r>
          </w:p>
        </w:tc>
        <w:tc>
          <w:tcPr>
            <w:tcW w:type="dxa" w:w="2180"/>
            <w:tcMar>
              <w:top w:type="dxa" w:w="60"/>
              <w:left w:type="dxa" w:w="100"/>
              <w:bottom w:type="dxa" w:w="60"/>
              <w:right w:type="dxa" w:w="100"/>
            </w:tcMar>
          </w:tcPr>
          <w:p>
            <w:pPr>
              <w:spacing w:after="0" w:before="0"/>
            </w:pPr>
            <w:r>
              <w:rPr>
                <w:b w:val="false"/>
                <w:bCs w:val="false"/>
                <w:i w:val="false"/>
                <w:iCs w:val="false"/>
              </w:rPr>
              <w:t xml:space="preserve">Weeks 16 to 32</w:t>
            </w:r>
          </w:p>
        </w:tc>
      </w:tr>
      <w:tr>
        <w:tc>
          <w:tcPr>
            <w:tcW w:type="dxa" w:w="1822"/>
            <w:tcMar>
              <w:top w:type="dxa" w:w="60"/>
              <w:left w:type="dxa" w:w="100"/>
              <w:bottom w:type="dxa" w:w="60"/>
              <w:right w:type="dxa" w:w="100"/>
            </w:tcMar>
          </w:tcPr>
          <w:p>
            <w:pPr>
              <w:spacing w:after="0" w:before="0"/>
            </w:pPr>
            <w:r>
              <w:rPr>
                <w:b w:val="false"/>
                <w:bCs w:val="false"/>
                <w:i w:val="false"/>
                <w:iCs w:val="false"/>
              </w:rPr>
              <w:t xml:space="preserve">Independent penetration tester</w:t>
            </w:r>
          </w:p>
        </w:tc>
        <w:tc>
          <w:tcPr>
            <w:tcW w:type="dxa" w:w="5018"/>
            <w:tcMar>
              <w:top w:type="dxa" w:w="60"/>
              <w:left w:type="dxa" w:w="100"/>
              <w:bottom w:type="dxa" w:w="60"/>
              <w:right w:type="dxa" w:w="100"/>
            </w:tcMar>
          </w:tcPr>
          <w:p>
            <w:pPr>
              <w:spacing w:after="0" w:before="0"/>
            </w:pPr>
            <w:r>
              <w:rPr>
                <w:b w:val="false"/>
                <w:bCs w:val="false"/>
                <w:i w:val="false"/>
                <w:iCs w:val="false"/>
              </w:rPr>
              <w:t xml:space="preserve">Independent of Inkript; CREST accredited or equivalent</w:t>
            </w:r>
          </w:p>
        </w:tc>
        <w:tc>
          <w:tcPr>
            <w:tcW w:type="dxa" w:w="2180"/>
            <w:tcMar>
              <w:top w:type="dxa" w:w="60"/>
              <w:left w:type="dxa" w:w="100"/>
              <w:bottom w:type="dxa" w:w="60"/>
              <w:right w:type="dxa" w:w="100"/>
            </w:tcMar>
          </w:tcPr>
          <w:p>
            <w:pPr>
              <w:spacing w:after="0" w:before="0"/>
            </w:pPr>
            <w:r>
              <w:rPr>
                <w:b w:val="false"/>
                <w:bCs w:val="false"/>
                <w:i w:val="false"/>
                <w:iCs w:val="false"/>
              </w:rPr>
              <w:t xml:space="preserve">Week 24, retest in weeks 25 and 26, then annually</w:t>
            </w:r>
          </w:p>
        </w:tc>
      </w:tr>
    </w:tbl>
    <w:p>
      <w:pPr>
        <w:spacing w:after="140"/>
      </w:pPr>
    </w:p>
    <w:p>
      <w:pPr>
        <w:spacing w:after="140" w:line="276"/>
      </w:pPr>
      <w:r>
        <w:rPr>
          <w:b w:val="false"/>
          <w:bCs w:val="false"/>
          <w:i w:val="false"/>
          <w:iCs w:val="false"/>
        </w:rPr>
        <w:t xml:space="preserve">The other roles meet the qualifications of Section VII clause 2.4 for their positions.</w:t>
      </w:r>
    </w:p>
    <w:p>
      <w:pPr>
        <w:pStyle w:val="Heading2"/>
        <w:numPr>
          <w:ilvl w:val="1"/>
          <w:numId w:val="2"/>
        </w:numPr>
        <w:spacing w:after="140" w:before="260"/>
      </w:pPr>
      <w:r>
        <w:t xml:space="preserve">C</w:t>
      </w:r>
      <w:bookmarkStart w:name="sec_9_4" w:id="1"/>
      <w:r>
        <w:rPr>
          <w:b w:val="false"/>
          <w:bCs w:val="false"/>
          <w:i w:val="false"/>
          <w:iCs w:val="false"/>
        </w:rPr>
        <w:t xml:space="preserve">apacity building and knowledge transfer</w:t>
      </w:r>
      <w:bookmarkEnd w:id="1"/>
    </w:p>
    <w:p>
      <w:pPr>
        <w:spacing w:after="140" w:line="276"/>
      </w:pPr>
      <w:r>
        <w:rPr>
          <w:b w:val="false"/>
          <w:bCs w:val="false"/>
          <w:i w:val="false"/>
          <w:iCs w:val="false"/>
        </w:rPr>
        <w:t xml:space="preserve">The aim is that NRB operates the facility's security without the Supplier at handover, and has already done so under observation. Three security engineers are trained for two posts, under the Training Sub-Plan in Preliminary Project Plan Section 3.</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554"/>
        <w:gridCol w:w="3466"/>
      </w:tblGrid>
      <w:tr>
        <w:trPr>
          <w:tblHeader/>
        </w:trPr>
        <w:tc>
          <w:tcPr>
            <w:tcW w:type="dxa" w:w="5554"/>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3466"/>
            <w:shd w:fill="EDEDED" w:val="clear"/>
            <w:tcMar>
              <w:top w:type="dxa" w:w="60"/>
              <w:left w:type="dxa" w:w="100"/>
              <w:bottom w:type="dxa" w:w="60"/>
              <w:right w:type="dxa" w:w="100"/>
            </w:tcMar>
          </w:tcPr>
          <w:p>
            <w:pPr>
              <w:spacing w:after="0" w:before="0"/>
            </w:pPr>
            <w:r>
              <w:rPr>
                <w:b/>
                <w:bCs/>
                <w:i w:val="false"/>
                <w:iCs w:val="false"/>
              </w:rPr>
              <w:t xml:space="preserve">Participants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Shadowing of the security build, the key ceremony and the security tests, weeks 15 to 26</w:t>
            </w:r>
          </w:p>
        </w:tc>
        <w:tc>
          <w:tcPr>
            <w:tcW w:type="dxa" w:w="3466"/>
            <w:tcMar>
              <w:top w:type="dxa" w:w="60"/>
              <w:left w:type="dxa" w:w="100"/>
              <w:bottom w:type="dxa" w:w="60"/>
              <w:right w:type="dxa" w:w="100"/>
            </w:tcMar>
          </w:tcPr>
          <w:p>
            <w:pPr>
              <w:spacing w:after="0" w:before="0"/>
            </w:pPr>
            <w:r>
              <w:rPr>
                <w:b w:val="false"/>
                <w:bCs w:val="false"/>
                <w:i w:val="false"/>
                <w:iCs w:val="false"/>
              </w:rPr>
              <w:t xml:space="preserve">NRB security engineers and administrators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administration module, two days, weeks 26 and 27</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 system administrators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and compliance module, weeks 25 and 26</w:t>
            </w:r>
          </w:p>
        </w:tc>
        <w:tc>
          <w:tcPr>
            <w:tcW w:type="dxa" w:w="3466"/>
            <w:tcMar>
              <w:top w:type="dxa" w:w="60"/>
              <w:left w:type="dxa" w:w="100"/>
              <w:bottom w:type="dxa" w:w="60"/>
              <w:right w:type="dxa" w:w="100"/>
            </w:tcMar>
          </w:tcPr>
          <w:p>
            <w:pPr>
              <w:spacing w:after="0" w:before="0"/>
            </w:pPr>
            <w:r>
              <w:rPr>
                <w:b w:val="false"/>
                <w:bCs w:val="false"/>
                <w:i w:val="false"/>
                <w:iCs w:val="false"/>
              </w:rPr>
              <w:t xml:space="preserve">All users, and managers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Incident response exercise, week 28</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 administrators, NRB security officer</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Operations Center run by NRB under observation, weeks 27 to 30</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w:t>
            </w:r>
          </w:p>
        </w:tc>
      </w:tr>
    </w:tbl>
    <w:p>
      <w:pPr>
        <w:spacing w:after="140"/>
      </w:pPr>
    </w:p>
    <w:p>
      <w:pPr>
        <w:spacing w:after="140" w:line="276"/>
      </w:pPr>
      <w:r>
        <w:rPr>
          <w:b/>
          <w:bCs/>
          <w:i w:val="false"/>
          <w:iCs w:val="false"/>
        </w:rPr>
        <w:t xml:space="preserve">Transfer criteria.</w:t>
      </w:r>
      <w:r>
        <w:rPr>
          <w:b w:val="false"/>
          <w:bCs w:val="false"/>
          <w:i w:val="false"/>
          <w:iCs w:val="false"/>
        </w:rPr>
        <w:t xml:space="preserve"> The Security Operations Center is transferred once each NRB security engineer has shown, under observation, that they can classify and escalate alerts, apply the playbooks of </w:t>
      </w:r>
      <w:r>
        <w:rPr>
          <w:b w:val="false"/>
          <w:bCs w:val="false"/>
          <w:i w:val="false"/>
          <w:iCs w:val="false"/>
        </w:rPr>
        <w:t xml:space="preserve">Section </w:t>
      </w:r>
      <w:fldSimple w:instr="REF sec_7_3 \w \h">
        <w:r>
          <w:t xml:space="preserve">7.3</w:t>
        </w:r>
      </w:fldSimple>
      <w:r>
        <w:rPr>
          <w:b w:val="false"/>
          <w:bCs w:val="false"/>
          <w:i w:val="false"/>
          <w:iCs w:val="false"/>
        </w:rPr>
        <w:t xml:space="preserve"> to containment, run an access recertification, operate the hardware security modules under dual control, restore a server from the immutable backups, and produce the monthly compliance report.</w:t>
      </w:r>
    </w:p>
    <w:p>
      <w:r>
        <w:br w:type="page"/>
      </w:r>
    </w:p>
    <w:p>
      <w:r>
        <w:br w:type="page"/>
      </w:r>
    </w:p>
    <w:p>
      <w:pPr>
        <w:pStyle w:val="Heading1"/>
        <w:numPr>
          <w:ilvl w:val="0"/>
          <w:numId w:val="2"/>
        </w:numPr>
        <w:spacing w:after="140" w:before="240"/>
      </w:pPr>
      <w:r>
        <w:t xml:space="preserve">I</w:t>
      </w:r>
      <w:bookmarkStart w:name="sec_10" w:id="1"/>
      <w:r>
        <w:rPr>
          <w:b w:val="false"/>
          <w:bCs w:val="false"/>
          <w:i w:val="false"/>
          <w:iCs w:val="false"/>
        </w:rPr>
        <w:t xml:space="preserve">nnovations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Innovation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What it does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Closed-loop production integrity, answering C01, C02</w:t>
            </w:r>
          </w:p>
        </w:tc>
        <w:tc>
          <w:tcPr>
            <w:tcW w:type="dxa" w:w="7240"/>
            <w:tcMar>
              <w:top w:type="dxa" w:w="60"/>
              <w:left w:type="dxa" w:w="100"/>
              <w:bottom w:type="dxa" w:w="60"/>
              <w:right w:type="dxa" w:w="100"/>
            </w:tcMar>
          </w:tcPr>
          <w:p>
            <w:pPr>
              <w:spacing w:after="0" w:before="0"/>
            </w:pPr>
            <w:r>
              <w:rPr>
                <w:b w:val="false"/>
                <w:bCs w:val="false"/>
                <w:i w:val="false"/>
                <w:iCs w:val="false"/>
              </w:rPr>
              <w:t xml:space="preserve">Security monitoring reconciles NRIS requests, signatures made by the hardware security modules and serialized blanks issued, for every job and every shift, and raises an S1 alert on any difference. A card produced for the wrong person, which no single control would notice, is found in the shift in which it is made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Detection derived from the risk register, answering all risks</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High or Critical risk is linked to a detection rule, a playbook and a test showing the rule fires, so that the Security Operations Center watches for the outcomes this facility fears rather than for generic attacks alone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Cyber-physical correlation, answering C02, C03, C06</w:t>
            </w:r>
          </w:p>
        </w:tc>
        <w:tc>
          <w:tcPr>
            <w:tcW w:type="dxa" w:w="7240"/>
            <w:tcMar>
              <w:top w:type="dxa" w:w="60"/>
              <w:left w:type="dxa" w:w="100"/>
              <w:bottom w:type="dxa" w:w="60"/>
              <w:right w:type="dxa" w:w="100"/>
            </w:tcMar>
          </w:tcPr>
          <w:p>
            <w:pPr>
              <w:spacing w:after="0" w:before="0"/>
            </w:pPr>
            <w:r>
              <w:rPr>
                <w:b w:val="false"/>
                <w:bCs w:val="false"/>
                <w:i w:val="false"/>
                <w:iCs w:val="false"/>
              </w:rPr>
              <w:t xml:space="preserve">Access control and intrusion events are correlated with system events, so that a privileged session opened from a room no authorized person has entered, or the card store opened outside a shift, raises an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Bounded exposure by design, answering C04</w:t>
            </w:r>
          </w:p>
        </w:tc>
        <w:tc>
          <w:tcPr>
            <w:tcW w:type="dxa" w:w="7240"/>
            <w:tcMar>
              <w:top w:type="dxa" w:w="60"/>
              <w:left w:type="dxa" w:w="100"/>
              <w:bottom w:type="dxa" w:w="60"/>
              <w:right w:type="dxa" w:w="100"/>
            </w:tcMar>
          </w:tcPr>
          <w:p>
            <w:pPr>
              <w:spacing w:after="0" w:before="0"/>
            </w:pPr>
            <w:r>
              <w:rPr>
                <w:b w:val="false"/>
                <w:bCs w:val="false"/>
                <w:i w:val="false"/>
                <w:iCs w:val="false"/>
              </w:rPr>
              <w:t xml:space="preserve">Biometric data is held only for the batch in production, and the audit trail records which batches were present at any moment, so a breach can be scoped to the citizens actually exposed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Integrity baseline from the factory, answering C08, C09</w:t>
            </w:r>
          </w:p>
        </w:tc>
        <w:tc>
          <w:tcPr>
            <w:tcW w:type="dxa" w:w="7240"/>
            <w:tcMar>
              <w:top w:type="dxa" w:w="60"/>
              <w:left w:type="dxa" w:w="100"/>
              <w:bottom w:type="dxa" w:w="60"/>
              <w:right w:type="dxa" w:w="100"/>
            </w:tcMar>
          </w:tcPr>
          <w:p>
            <w:pPr>
              <w:spacing w:after="0" w:before="0"/>
            </w:pPr>
            <w:r>
              <w:rPr>
                <w:b w:val="false"/>
                <w:bCs w:val="false"/>
                <w:i w:val="false"/>
                <w:iCs w:val="false"/>
              </w:rPr>
              <w:t xml:space="preserve">The hashes of the equipment control software accepted at factory acceptance are the reference against which the installed lines are verified on arrival, after each release and on any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Targeted reissue, answering C01, C14</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card records the certificate under which it was signed, so that if a key were compromised or an algorithm weakened, only the affected cards need be identified and reissued</w:t>
            </w:r>
          </w:p>
        </w:tc>
      </w:tr>
    </w:tbl>
    <w:p>
      <w:pPr>
        <w:spacing w:after="140"/>
      </w:pPr>
    </w:p>
    <w:p>
      <w:r>
        <w:br w:type="page"/>
      </w:r>
    </w:p>
    <w:p>
      <w:r>
        <w:br w:type="page"/>
      </w:r>
    </w:p>
    <w:p>
      <w:pPr>
        <w:pStyle w:val="Heading1"/>
        <w:numPr>
          <w:ilvl w:val="0"/>
          <w:numId w:val="2"/>
        </w:numPr>
        <w:spacing w:after="140" w:before="240"/>
      </w:pPr>
      <w:r>
        <w:t xml:space="preserve">C</w:t>
      </w:r>
      <w:bookmarkStart w:name="sec_11" w:id="1"/>
      <w:r>
        <w:rPr>
          <w:b w:val="false"/>
          <w:bCs w:val="false"/>
          <w:i w:val="false"/>
          <w:iCs w:val="false"/>
        </w:rPr>
        <w:t xml:space="preserve">ompliance</w:t>
      </w:r>
      <w:bookmarkEnd w:id="1"/>
    </w:p>
    <w:p>
      <w:pPr>
        <w:pStyle w:val="Heading2"/>
        <w:numPr>
          <w:ilvl w:val="1"/>
          <w:numId w:val="2"/>
        </w:numPr>
        <w:spacing w:after="140" w:before="260"/>
      </w:pPr>
      <w:r>
        <w:t xml:space="preserve">C</w:t>
      </w:r>
      <w:bookmarkStart w:name="sec_11_1" w:id="1"/>
      <w:r>
        <w:rPr>
          <w:b w:val="false"/>
          <w:bCs w:val="false"/>
          <w:i w:val="false"/>
          <w:iCs w:val="false"/>
        </w:rPr>
        <w:t xml:space="preserve">ompliance and governance statement</w:t>
      </w:r>
      <w:bookmarkEnd w:id="1"/>
    </w:p>
    <w:p>
      <w:pPr>
        <w:spacing w:after="140" w:line="276"/>
      </w:pPr>
      <w:r>
        <w:rPr>
          <w:b w:val="false"/>
          <w:bCs w:val="false"/>
          <w:i w:val="false"/>
          <w:iCs w:val="false"/>
        </w:rPr>
        <w:t xml:space="preserve">Inkript confirms that, if awarded the Contract, it will:</w:t>
      </w:r>
    </w:p>
    <w:p>
      <w:pPr>
        <w:pStyle w:val="ListParagraph"/>
        <w:numPr>
          <w:ilvl w:val="0"/>
          <w:numId w:val="1"/>
        </w:numPr>
        <w:spacing w:after="60"/>
      </w:pPr>
      <w:r>
        <w:rPr>
          <w:b w:val="false"/>
          <w:bCs w:val="false"/>
          <w:i w:val="false"/>
          <w:iCs w:val="false"/>
        </w:rPr>
        <w:t xml:space="preserve">design, implement and maintain the security architecture required by Section VII clause 1.6, as described in System Architecture Section 10 and governed by this plan;</w:t>
      </w:r>
    </w:p>
    <w:p>
      <w:pPr>
        <w:pStyle w:val="ListParagraph"/>
        <w:numPr>
          <w:ilvl w:val="0"/>
          <w:numId w:val="1"/>
        </w:numPr>
        <w:spacing w:after="60"/>
      </w:pPr>
      <w:r>
        <w:rPr>
          <w:b w:val="false"/>
          <w:bCs w:val="false"/>
          <w:i w:val="false"/>
          <w:iCs w:val="false"/>
        </w:rPr>
        <w:t xml:space="preserve">take the technical and organizational measures required by GCC 44.1, and flow those obligations down to its subcontractors, suppliers and manufacturers;</w:t>
      </w:r>
    </w:p>
    <w:p>
      <w:pPr>
        <w:pStyle w:val="ListParagraph"/>
        <w:numPr>
          <w:ilvl w:val="0"/>
          <w:numId w:val="1"/>
        </w:numPr>
        <w:spacing w:after="60"/>
      </w:pPr>
      <w:r>
        <w:rPr>
          <w:b w:val="false"/>
          <w:bCs w:val="false"/>
          <w:i w:val="false"/>
          <w:iCs w:val="false"/>
        </w:rPr>
        <w:t xml:space="preserve">notify the Purchaser's Project Manager and designated security representatives immediately, and in any event within 24 hours, of the cyber security incidents listed in SCC 19.7, as set out in </w:t>
      </w:r>
      <w:r>
        <w:rPr>
          <w:b w:val="false"/>
          <w:bCs w:val="false"/>
          <w:i w:val="false"/>
          <w:iCs w:val="false"/>
        </w:rPr>
        <w:t xml:space="preserve">Section </w:t>
      </w:r>
      <w:fldSimple w:instr="REF sec_7_4 \w \h">
        <w:r>
          <w:t xml:space="preserve">7.4</w:t>
        </w:r>
      </w:fldSimple>
      <w:r>
        <w:rPr>
          <w:b w:val="false"/>
          <w:bCs w:val="false"/>
          <w:i w:val="false"/>
          <w:iCs w:val="false"/>
        </w:rPr>
        <w:t xml:space="preserve">;</w:t>
      </w:r>
    </w:p>
    <w:p>
      <w:pPr>
        <w:pStyle w:val="ListParagraph"/>
        <w:numPr>
          <w:ilvl w:val="0"/>
          <w:numId w:val="1"/>
        </w:numPr>
        <w:spacing w:after="60"/>
      </w:pPr>
      <w:r>
        <w:rPr>
          <w:b w:val="false"/>
          <w:bCs w:val="false"/>
          <w:i w:val="false"/>
          <w:iCs w:val="false"/>
        </w:rPr>
        <w:t xml:space="preserve">report monthly on the status of compliance with cyber security risk management, and on foreseeable cyber security risks and their mitigation, as required by SCC 19.6(d);</w:t>
      </w:r>
    </w:p>
    <w:p>
      <w:pPr>
        <w:pStyle w:val="ListParagraph"/>
        <w:numPr>
          <w:ilvl w:val="0"/>
          <w:numId w:val="1"/>
        </w:numPr>
        <w:spacing w:after="60"/>
      </w:pPr>
      <w:r>
        <w:rPr>
          <w:b w:val="false"/>
          <w:bCs w:val="false"/>
          <w:i w:val="false"/>
          <w:iCs w:val="false"/>
        </w:rPr>
        <w:t xml:space="preserve">store and process citizen data only in Malawi, with NRB as data controller, and use synthetic or masked data for all work outside the production system;</w:t>
      </w:r>
    </w:p>
    <w:p>
      <w:pPr>
        <w:pStyle w:val="ListParagraph"/>
        <w:numPr>
          <w:ilvl w:val="0"/>
          <w:numId w:val="1"/>
        </w:numPr>
        <w:spacing w:after="60"/>
      </w:pPr>
      <w:r>
        <w:rPr>
          <w:b w:val="false"/>
          <w:bCs w:val="false"/>
          <w:i w:val="false"/>
          <w:iCs w:val="false"/>
        </w:rPr>
        <w:t xml:space="preserve">comply with the Data Protection Act 2024, the Communications Act 2016, the National Registration Act 2015, the Electronic Transactions and Cybersecurity Act 2016, Malawi's National Digitalization Policy, the Project Environmental and Social Management Plan, the principles of the General Data Protection Regulation, and data minimization and purpose limitation;</w:t>
      </w:r>
    </w:p>
    <w:p>
      <w:pPr>
        <w:pStyle w:val="ListParagraph"/>
        <w:numPr>
          <w:ilvl w:val="0"/>
          <w:numId w:val="1"/>
        </w:numPr>
        <w:spacing w:after="60"/>
      </w:pPr>
      <w:r>
        <w:rPr>
          <w:b w:val="false"/>
          <w:bCs w:val="false"/>
          <w:i w:val="false"/>
          <w:iCs w:val="false"/>
        </w:rPr>
        <w:t xml:space="preserve">maintain its ISO/IEC 27001 certification throughout the Contract; and</w:t>
      </w:r>
    </w:p>
    <w:p>
      <w:pPr>
        <w:pStyle w:val="ListParagraph"/>
        <w:numPr>
          <w:ilvl w:val="0"/>
          <w:numId w:val="1"/>
        </w:numPr>
        <w:spacing w:after="60"/>
      </w:pPr>
      <w:r>
        <w:rPr>
          <w:b w:val="false"/>
          <w:bCs w:val="false"/>
          <w:i w:val="false"/>
          <w:iCs w:val="false"/>
        </w:rPr>
        <w:t xml:space="preserve">assign security decisions as set out in </w:t>
      </w:r>
      <w:r>
        <w:rPr>
          <w:b w:val="false"/>
          <w:bCs w:val="false"/>
          <w:i w:val="false"/>
          <w:iCs w:val="false"/>
        </w:rPr>
        <w:t xml:space="preserve">Section </w:t>
      </w:r>
      <w:fldSimple w:instr="REF sec_2_1 \w \h">
        <w:r>
          <w:t xml:space="preserve">2.1</w:t>
        </w:r>
      </w:fldSimple>
      <w:r>
        <w:rPr>
          <w:b w:val="false"/>
          <w:bCs w:val="false"/>
          <w:i w:val="false"/>
          <w:iCs w:val="false"/>
        </w:rPr>
        <w:t xml:space="preserve">, with residual risk accepted only by the Purchaser.</w:t>
      </w:r>
    </w:p>
    <w:p>
      <w:pPr>
        <w:pStyle w:val="Heading2"/>
        <w:numPr>
          <w:ilvl w:val="1"/>
          <w:numId w:val="2"/>
        </w:numPr>
        <w:spacing w:after="140" w:before="260"/>
      </w:pPr>
      <w:r>
        <w:t xml:space="preserve">R</w:t>
      </w:r>
      <w:bookmarkStart w:name="sec_11_2" w:id="1"/>
      <w:r>
        <w:rPr>
          <w:b w:val="false"/>
          <w:bCs w:val="false"/>
          <w:i w:val="false"/>
          <w:iCs w:val="false"/>
        </w:rPr>
        <w:t xml:space="preserve">equirements compliance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438"/>
        <w:gridCol w:w="2582"/>
      </w:tblGrid>
      <w:tr>
        <w:trPr>
          <w:tblHeader/>
        </w:trPr>
        <w:tc>
          <w:tcPr>
            <w:tcW w:type="dxa" w:w="6438"/>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2582"/>
            <w:shd w:fill="EDEDED" w:val="clear"/>
            <w:tcMar>
              <w:top w:type="dxa" w:w="60"/>
              <w:left w:type="dxa" w:w="100"/>
              <w:bottom w:type="dxa" w:w="60"/>
              <w:right w:type="dxa" w:w="100"/>
            </w:tcMar>
          </w:tcPr>
          <w:p>
            <w:pPr>
              <w:spacing w:after="0" w:before="0"/>
            </w:pPr>
            <w:r>
              <w:rPr>
                <w:b/>
                <w:bCs/>
                <w:i w:val="false"/>
                <w:iCs w:val="false"/>
              </w:rPr>
              <w:t xml:space="preserve">Response</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 Security architecture.</w:t>
            </w:r>
            <w:r>
              <w:rPr>
                <w:b w:val="false"/>
                <w:bCs w:val="false"/>
                <w:i w:val="false"/>
                <w:iCs w:val="false"/>
              </w:rPr>
              <w:t xml:space="preserve"> Multi-layered security architecture</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 10.1; </w:t>
            </w:r>
            <w:r>
              <w:rPr>
                <w:b w:val="false"/>
                <w:bCs w:val="false"/>
                <w:i w:val="false"/>
                <w:iCs w:val="false"/>
              </w:rPr>
              <w:t xml:space="preserve">Section </w:t>
            </w:r>
            <w:fldSimple w:instr="REF sec_3_1 \w \h">
              <w:r>
                <w:t xml:space="preserve">3.1</w:t>
              </w:r>
            </w:fldSimple>
          </w:p>
        </w:tc>
      </w:tr>
      <w:tr>
        <w:tc>
          <w:tcPr>
            <w:tcW w:type="dxa" w:w="6438"/>
            <w:tcMar>
              <w:top w:type="dxa" w:w="60"/>
              <w:left w:type="dxa" w:w="100"/>
              <w:bottom w:type="dxa" w:w="60"/>
              <w:right w:type="dxa" w:w="100"/>
            </w:tcMar>
          </w:tcPr>
          <w:p>
            <w:pPr>
              <w:spacing w:after="0" w:before="0"/>
            </w:pPr>
            <w:r>
              <w:rPr>
                <w:b/>
                <w:bCs/>
                <w:i w:val="false"/>
                <w:iCs w:val="false"/>
              </w:rPr>
              <w:t xml:space="preserve">Section VII clause 1.6.2, Security architecture requirements.</w:t>
            </w:r>
            <w:r>
              <w:rPr>
                <w:b w:val="false"/>
                <w:bCs w:val="false"/>
                <w:i w:val="false"/>
                <w:iCs w:val="false"/>
              </w:rPr>
              <w:t xml:space="preserve"> Encryption in transit and at rest, zero trust, RBAC and least privilege, segmented network, secure APIs, HSMs, key lifecycle, MFA for privileged access, tamper-proof audit trails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Sections 9.2, 10.1 to 10.6</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1.6.3, Data protection.</w:t>
            </w:r>
            <w:r>
              <w:rPr>
                <w:b w:val="false"/>
                <w:bCs w:val="false"/>
                <w:i w:val="false"/>
                <w:iCs w:val="false"/>
              </w:rPr>
              <w:t xml:space="preserve"> AES-256 at rest, TLS 1.2 or higher, masking, secure deletion, retention enforcement</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 10.2</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1.6.4, Identity and access management.</w:t>
            </w:r>
            <w:r>
              <w:rPr>
                <w:b w:val="false"/>
                <w:bCs w:val="false"/>
                <w:i w:val="false"/>
                <w:iCs w:val="false"/>
              </w:rPr>
              <w:t xml:space="preserve"> Centralized IAM, MFA, PAM, just-in-time access, access logging, recertification</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 10.3</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1.6.5, Application security.</w:t>
            </w:r>
            <w:r>
              <w:rPr>
                <w:b w:val="false"/>
                <w:bCs w:val="false"/>
                <w:i w:val="false"/>
                <w:iCs w:val="false"/>
              </w:rPr>
              <w:t xml:space="preserve"> Secure development lifecycle, OWASP Top 10, SAST and DAST, API security, vulnerability and patch management</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 10.5; </w:t>
            </w:r>
            <w:r>
              <w:rPr>
                <w:b w:val="false"/>
                <w:bCs w:val="false"/>
                <w:i w:val="false"/>
                <w:iCs w:val="false"/>
              </w:rPr>
              <w:t xml:space="preserve">Section </w:t>
            </w:r>
            <w:fldSimple w:instr="REF sec_6_2 \w \h">
              <w:r>
                <w:t xml:space="preserve">6.2</w:t>
              </w:r>
            </w:fldSimple>
          </w:p>
        </w:tc>
      </w:tr>
      <w:tr>
        <w:tc>
          <w:tcPr>
            <w:tcW w:type="dxa" w:w="6438"/>
            <w:tcMar>
              <w:top w:type="dxa" w:w="60"/>
              <w:left w:type="dxa" w:w="100"/>
              <w:bottom w:type="dxa" w:w="60"/>
              <w:right w:type="dxa" w:w="100"/>
            </w:tcMar>
          </w:tcPr>
          <w:p>
            <w:pPr>
              <w:spacing w:after="0" w:before="0"/>
            </w:pPr>
            <w:r>
              <w:rPr>
                <w:b/>
                <w:bCs/>
                <w:i w:val="false"/>
                <w:iCs w:val="false"/>
              </w:rPr>
              <w:t xml:space="preserve">Section VII clause 1.6.6, Infrastructure security.</w:t>
            </w:r>
            <w:r>
              <w:rPr>
                <w:b w:val="false"/>
                <w:bCs w:val="false"/>
                <w:i w:val="false"/>
                <w:iCs w:val="false"/>
              </w:rPr>
              <w:t xml:space="preserve"> CIS-hardened systems, EDR, anti-malware and IPS, next generation firewalls, secure baselines, SIEM</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Sections 9.1, 9.2 and 10.7</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1.6.7, Physical security.</w:t>
            </w:r>
            <w:r>
              <w:rPr>
                <w:b w:val="false"/>
                <w:bCs w:val="false"/>
                <w:i w:val="false"/>
                <w:iCs w:val="false"/>
              </w:rPr>
              <w:t xml:space="preserve"> Biometric access, CCTV, secure zones, environmental monitoring linked to alerts, visitor logging</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Installed under the facility works and integrated with security monitoring. System Architecture Section 9.5</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1.6.8, Security monitoring and incident response.</w:t>
            </w:r>
            <w:r>
              <w:rPr>
                <w:b w:val="false"/>
                <w:bCs w:val="false"/>
                <w:i w:val="false"/>
                <w:iCs w:val="false"/>
              </w:rPr>
              <w:t xml:space="preserve"> SOC, 24/7 monitoring, SIEM, incident response plan, escalation matrix, forensics, reporting timelines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 10.7; </w:t>
            </w:r>
            <w:r>
              <w:rPr>
                <w:b w:val="false"/>
                <w:bCs w:val="false"/>
                <w:i w:val="false"/>
                <w:iCs w:val="false"/>
              </w:rPr>
              <w:t xml:space="preserve">Section 7</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1.6.9, Vulnerability and penetration testing.</w:t>
            </w:r>
            <w:r>
              <w:rPr>
                <w:b w:val="false"/>
                <w:bCs w:val="false"/>
                <w:i w:val="false"/>
                <w:iCs w:val="false"/>
              </w:rPr>
              <w:t xml:space="preserve"> Independent penetration test before go-live and annually; quarterly vulnerability assessment; remediation tracking</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Sections </w:t>
            </w:r>
            <w:fldSimple w:instr="REF sec_6_2 \w \h">
              <w:r>
                <w:t xml:space="preserve">6.2</w:t>
              </w:r>
            </w:fldSimple>
            <w:r>
              <w:rPr>
                <w:b w:val="false"/>
                <w:bCs w:val="false"/>
                <w:i w:val="false"/>
                <w:iCs w:val="false"/>
              </w:rPr>
              <w:t xml:space="preserve"> and </w:t>
            </w:r>
            <w:fldSimple w:instr="REF sec_6_3 \w \h">
              <w:r>
                <w:t xml:space="preserve">6.3</w:t>
              </w:r>
            </w:fldSimple>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1.6.10, Business continuity and disaster recovery.</w:t>
            </w:r>
            <w:r>
              <w:rPr>
                <w:b w:val="false"/>
                <w:bCs w:val="false"/>
                <w:i w:val="false"/>
                <w:iCs w:val="false"/>
              </w:rPr>
              <w:t xml:space="preserve"> Encrypted, offsite and immutable backups; failover; annual DR test; ransomware recovery</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Sections 9.3 and 12.3; </w:t>
            </w:r>
            <w:r>
              <w:rPr>
                <w:b w:val="false"/>
                <w:bCs w:val="false"/>
                <w:i w:val="false"/>
                <w:iCs w:val="false"/>
              </w:rPr>
              <w:t xml:space="preserve">Section 8</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1.6.11.1, Accreditation.</w:t>
            </w:r>
            <w:r>
              <w:rPr>
                <w:b w:val="false"/>
                <w:bCs w:val="false"/>
                <w:i w:val="false"/>
                <w:iCs w:val="false"/>
              </w:rPr>
              <w:t xml:space="preserve"> Compliance of the bidder and key personnel with recognized standards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Sections </w:t>
            </w:r>
            <w:fldSimple w:instr="REF sec_9_3 \w \h">
              <w:r>
                <w:t xml:space="preserve">9.3</w:t>
              </w:r>
            </w:fldSimple>
            <w:r>
              <w:rPr>
                <w:b w:val="false"/>
                <w:bCs w:val="false"/>
                <w:i w:val="false"/>
                <w:iCs w:val="false"/>
              </w:rPr>
              <w:t xml:space="preserve"> and </w:t>
            </w:r>
            <w:fldSimple w:instr="REF sec_11_3 \w \h">
              <w:r>
                <w:t xml:space="preserve">11.3</w:t>
              </w:r>
            </w:fldSimple>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1.6.11.2, Certification.</w:t>
            </w:r>
            <w:r>
              <w:rPr>
                <w:b w:val="false"/>
                <w:bCs w:val="false"/>
                <w:i w:val="false"/>
                <w:iCs w:val="false"/>
              </w:rPr>
              <w:t xml:space="preserve"> ISO/IEC 27001, mandatory; ISO 9001 and ISO/IEC 20000-1, preferred</w:t>
            </w:r>
          </w:p>
        </w:tc>
        <w:tc>
          <w:tcPr>
            <w:tcW w:type="dxa" w:w="2582"/>
            <w:tcMar>
              <w:top w:type="dxa" w:w="60"/>
              <w:left w:type="dxa" w:w="100"/>
              <w:bottom w:type="dxa" w:w="60"/>
              <w:right w:type="dxa" w:w="100"/>
            </w:tcMar>
          </w:tcPr>
          <w:p>
            <w:pPr>
              <w:spacing w:after="0" w:before="0"/>
            </w:pPr>
            <w:r>
              <w:rPr>
                <w:b w:val="false"/>
                <w:bCs w:val="false"/>
                <w:i w:val="false"/>
                <w:iCs w:val="false"/>
              </w:rPr>
              <w:t xml:space="preserve">ISO/IEC 27001: complies, certificate attached. ISO 9001 and ISO/IEC 20000-1: [Inkript to confirm]. </w:t>
            </w:r>
            <w:r>
              <w:rPr>
                <w:b w:val="false"/>
                <w:bCs w:val="false"/>
                <w:i w:val="false"/>
                <w:iCs w:val="false"/>
              </w:rPr>
              <w:t xml:space="preserve">Section </w:t>
            </w:r>
            <w:fldSimple w:instr="REF sec_11_3 \w \h">
              <w:r>
                <w:t xml:space="preserve">11.3</w:t>
              </w:r>
            </w:fldSimple>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1.6.11.3, Frameworks.</w:t>
            </w:r>
            <w:r>
              <w:rPr>
                <w:b w:val="false"/>
                <w:bCs w:val="false"/>
                <w:i w:val="false"/>
                <w:iCs w:val="false"/>
              </w:rPr>
              <w:t xml:space="preserve"> NIST CSF, CIS Controls, ISO/IEC 27002, OWASP</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3_2 \w \h">
              <w:r>
                <w:t xml:space="preserve">3.2</w:t>
              </w:r>
            </w:fldSimple>
            <w:r>
              <w:rPr>
                <w:b w:val="false"/>
                <w:bCs w:val="false"/>
                <w:i w:val="false"/>
                <w:iCs w:val="false"/>
              </w:rPr>
              <w:t xml:space="preserve">; System Architecture Section 10.8</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1.6.11.4, Cryptography.</w:t>
            </w:r>
            <w:r>
              <w:rPr>
                <w:b w:val="false"/>
                <w:bCs w:val="false"/>
                <w:i w:val="false"/>
                <w:iCs w:val="false"/>
              </w:rPr>
              <w:t xml:space="preserve"> FIPS 140-2 or 140-3 HSMs, X.509, eIDAS-aligned signatures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 10.4</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1.6.11.5, Legal and regulatory.</w:t>
            </w:r>
            <w:r>
              <w:rPr>
                <w:b w:val="false"/>
                <w:bCs w:val="false"/>
                <w:i w:val="false"/>
                <w:iCs w:val="false"/>
              </w:rPr>
              <w:t xml:space="preserve"> Malawi legislation, ESMP, GDPR principles, minimization, Privacy Impact Assessment</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11_1 \w \h">
              <w:r>
                <w:t xml:space="preserve">11.1</w:t>
              </w:r>
            </w:fldSimple>
            <w:r>
              <w:rPr>
                <w:b w:val="false"/>
                <w:bCs w:val="false"/>
                <w:i w:val="false"/>
                <w:iCs w:val="false"/>
              </w:rPr>
              <w:t xml:space="preserve">; System Architecture Section 10.2</w:t>
            </w:r>
          </w:p>
        </w:tc>
      </w:tr>
      <w:tr>
        <w:tc>
          <w:tcPr>
            <w:tcW w:type="dxa" w:w="6438"/>
            <w:tcMar>
              <w:top w:type="dxa" w:w="60"/>
              <w:left w:type="dxa" w:w="100"/>
              <w:bottom w:type="dxa" w:w="60"/>
              <w:right w:type="dxa" w:w="100"/>
            </w:tcMar>
          </w:tcPr>
          <w:p>
            <w:pPr>
              <w:spacing w:after="0" w:before="0"/>
            </w:pPr>
            <w:r>
              <w:rPr>
                <w:b/>
                <w:bCs/>
                <w:i w:val="false"/>
                <w:iCs w:val="false"/>
              </w:rPr>
              <w:t xml:space="preserve">GCC 44.1.</w:t>
            </w:r>
            <w:r>
              <w:rPr>
                <w:b w:val="false"/>
                <w:bCs w:val="false"/>
                <w:i w:val="false"/>
                <w:iCs w:val="false"/>
              </w:rPr>
              <w:t xml:space="preserve"> Cyber security measures, including by subcontractors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Sections </w:t>
            </w:r>
            <w:fldSimple w:instr="REF sec_2_1 \w \h">
              <w:r>
                <w:t xml:space="preserve">2.1</w:t>
              </w:r>
            </w:fldSimple>
            <w:r>
              <w:rPr>
                <w:b w:val="false"/>
                <w:bCs w:val="false"/>
                <w:i w:val="false"/>
                <w:iCs w:val="false"/>
              </w:rPr>
              <w:t xml:space="preserve"> and </w:t>
            </w:r>
            <w:fldSimple w:instr="REF sec_11_1 \w \h">
              <w:r>
                <w:t xml:space="preserve">11.1</w:t>
              </w:r>
            </w:fldSimple>
          </w:p>
        </w:tc>
      </w:tr>
      <w:tr>
        <w:tc>
          <w:tcPr>
            <w:tcW w:type="dxa" w:w="6438"/>
            <w:tcMar>
              <w:top w:type="dxa" w:w="60"/>
              <w:left w:type="dxa" w:w="100"/>
              <w:bottom w:type="dxa" w:w="60"/>
              <w:right w:type="dxa" w:w="100"/>
            </w:tcMar>
          </w:tcPr>
          <w:p>
            <w:pPr>
              <w:spacing w:after="0" w:before="0"/>
            </w:pPr>
            <w:r>
              <w:rPr>
                <w:b/>
                <w:bCs/>
                <w:i w:val="false"/>
                <w:iCs w:val="false"/>
              </w:rPr>
              <w:t xml:space="preserve">SCC 19.6(d).</w:t>
            </w:r>
            <w:r>
              <w:rPr>
                <w:b w:val="false"/>
                <w:bCs w:val="false"/>
                <w:i w:val="false"/>
                <w:iCs w:val="false"/>
              </w:rPr>
              <w:t xml:space="preserve"> Report on compliance with cyber security risk management</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6_3 \w \h">
              <w:r>
                <w:t xml:space="preserve">6.3</w:t>
              </w:r>
            </w:fldSimple>
          </w:p>
        </w:tc>
      </w:tr>
      <w:tr>
        <w:tc>
          <w:tcPr>
            <w:tcW w:type="dxa" w:w="6438"/>
            <w:tcMar>
              <w:top w:type="dxa" w:w="60"/>
              <w:left w:type="dxa" w:w="100"/>
              <w:bottom w:type="dxa" w:w="60"/>
              <w:right w:type="dxa" w:w="100"/>
            </w:tcMar>
          </w:tcPr>
          <w:p>
            <w:pPr>
              <w:spacing w:after="0" w:before="0"/>
            </w:pPr>
            <w:r>
              <w:rPr>
                <w:b/>
                <w:bCs/>
                <w:i w:val="false"/>
                <w:iCs w:val="false"/>
              </w:rPr>
              <w:t xml:space="preserve">SCC 19.7.</w:t>
            </w:r>
            <w:r>
              <w:rPr>
                <w:b w:val="false"/>
                <w:bCs w:val="false"/>
                <w:i w:val="false"/>
                <w:iCs w:val="false"/>
              </w:rPr>
              <w:t xml:space="preserve"> Notification within 24 hours of listed incidents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7</w:t>
            </w:r>
          </w:p>
        </w:tc>
      </w:tr>
    </w:tbl>
    <w:p>
      <w:pPr>
        <w:spacing w:after="140"/>
      </w:pPr>
    </w:p>
    <w:p>
      <w:pPr>
        <w:pStyle w:val="Heading2"/>
        <w:numPr>
          <w:ilvl w:val="1"/>
          <w:numId w:val="2"/>
        </w:numPr>
        <w:spacing w:after="140" w:before="260"/>
      </w:pPr>
      <w:r>
        <w:t xml:space="preserve">C</w:t>
      </w:r>
      <w:bookmarkStart w:name="sec_11_3" w:id="1"/>
      <w:r>
        <w:rPr>
          <w:b w:val="false"/>
          <w:bCs w:val="false"/>
          <w:i w:val="false"/>
          <w:iCs w:val="false"/>
        </w:rPr>
        <w:t xml:space="preserve">ertifications and evidence of past implementation</w:t>
      </w:r>
      <w:bookmarkEnd w:id="1"/>
    </w:p>
    <w:p>
      <w:pPr>
        <w:spacing w:after="140" w:line="276"/>
      </w:pPr>
      <w:r>
        <w:rPr>
          <w:b/>
          <w:bCs/>
          <w:i w:val="false"/>
          <w:iCs w:val="false"/>
        </w:rPr>
        <w:t xml:space="preserve">Attached to the Technical Proposal.</w:t>
      </w:r>
      <w:r>
        <w:rPr>
          <w:b w:val="false"/>
          <w:bCs w:val="false"/>
          <w:i w:val="false"/>
          <w:iCs w:val="false"/>
        </w:rPr>
        <w:t xml:space="preserve"> Inkript's ISO/IEC 27001 certificate; the CVs and certificates of the Cybersecurity and PKI Specialist, including CISSP, CISM and CEH; and the FIPS 140 validation certificates of the hardware security modules offered.</w:t>
      </w:r>
    </w:p>
    <w:p>
      <w:pPr>
        <w:spacing w:after="140" w:line="276"/>
      </w:pPr>
      <w:r>
        <w:rPr>
          <w:b/>
          <w:bCs/>
          <w:i w:val="false"/>
          <w:iCs w:val="false"/>
        </w:rPr>
        <w:t xml:space="preserve">Past implementation.</w:t>
      </w:r>
      <w:r>
        <w:rPr>
          <w:b w:val="false"/>
          <w:bCs w:val="false"/>
          <w:i w:val="false"/>
          <w:iCs w:val="false"/>
        </w:rPr>
        <w:t xml:space="preserve"> [Inkript to complete with two or three references and attach the client letters.]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12"/>
        <w:gridCol w:w="5689"/>
        <w:gridCol w:w="1119"/>
      </w:tblGrid>
      <w:tr>
        <w:trPr>
          <w:tblHeader/>
        </w:trPr>
        <w:tc>
          <w:tcPr>
            <w:tcW w:type="dxa" w:w="2212"/>
            <w:shd w:fill="EDEDED" w:val="clear"/>
            <w:tcMar>
              <w:top w:type="dxa" w:w="60"/>
              <w:left w:type="dxa" w:w="100"/>
              <w:bottom w:type="dxa" w:w="60"/>
              <w:right w:type="dxa" w:w="100"/>
            </w:tcMar>
          </w:tcPr>
          <w:p>
            <w:pPr>
              <w:spacing w:after="0" w:before="0"/>
            </w:pPr>
            <w:r>
              <w:rPr>
                <w:b/>
                <w:bCs/>
                <w:i w:val="false"/>
                <w:iCs w:val="false"/>
              </w:rPr>
              <w:t xml:space="preserve">Project, client, country and period</w:t>
            </w:r>
          </w:p>
        </w:tc>
        <w:tc>
          <w:tcPr>
            <w:tcW w:type="dxa" w:w="5689"/>
            <w:shd w:fill="EDEDED" w:val="clear"/>
            <w:tcMar>
              <w:top w:type="dxa" w:w="60"/>
              <w:left w:type="dxa" w:w="100"/>
              <w:bottom w:type="dxa" w:w="60"/>
              <w:right w:type="dxa" w:w="100"/>
            </w:tcMar>
          </w:tcPr>
          <w:p>
            <w:pPr>
              <w:spacing w:after="0" w:before="0"/>
            </w:pPr>
            <w:r>
              <w:rPr>
                <w:b/>
                <w:bCs/>
                <w:i w:val="false"/>
                <w:iCs w:val="false"/>
              </w:rPr>
              <w:t xml:space="preserve">Security scope comparable to this Contract</w:t>
            </w:r>
          </w:p>
        </w:tc>
        <w:tc>
          <w:tcPr>
            <w:tcW w:type="dxa" w:w="1119"/>
            <w:shd w:fill="EDEDED" w:val="clear"/>
            <w:tcMar>
              <w:top w:type="dxa" w:w="60"/>
              <w:left w:type="dxa" w:w="100"/>
              <w:bottom w:type="dxa" w:w="60"/>
              <w:right w:type="dxa" w:w="100"/>
            </w:tcMar>
          </w:tcPr>
          <w:p>
            <w:pPr>
              <w:spacing w:after="0" w:before="0"/>
            </w:pPr>
            <w:r>
              <w:rPr>
                <w:b/>
                <w:bCs/>
                <w:i w:val="false"/>
                <w:iCs w:val="false"/>
              </w:rPr>
              <w:t xml:space="preserve">Evidence attached</w:t>
            </w:r>
          </w:p>
        </w:tc>
      </w:tr>
      <w:tr>
        <w:tc>
          <w:tcPr>
            <w:tcW w:type="dxa" w:w="2212"/>
            <w:tcMar>
              <w:top w:type="dxa" w:w="60"/>
              <w:left w:type="dxa" w:w="100"/>
              <w:bottom w:type="dxa" w:w="60"/>
              <w:right w:type="dxa" w:w="100"/>
            </w:tcMar>
          </w:tcPr>
          <w:p>
            <w:pPr>
              <w:spacing w:after="0" w:before="0"/>
            </w:pPr>
            <w:r>
              <w:rPr>
                <w:b w:val="false"/>
                <w:bCs w:val="false"/>
                <w:i w:val="false"/>
                <w:iCs w:val="false"/>
              </w:rPr>
              <w:t xml:space="preserve">[Reference 1]</w:t>
            </w:r>
          </w:p>
        </w:tc>
        <w:tc>
          <w:tcPr>
            <w:tcW w:type="dxa" w:w="5689"/>
            <w:tcMar>
              <w:top w:type="dxa" w:w="60"/>
              <w:left w:type="dxa" w:w="100"/>
              <w:bottom w:type="dxa" w:w="60"/>
              <w:right w:type="dxa" w:w="100"/>
            </w:tcMar>
          </w:tcPr>
          <w:p>
            <w:pPr>
              <w:spacing w:after="0" w:before="0"/>
            </w:pPr>
            <w:r>
              <w:rPr>
                <w:b w:val="false"/>
                <w:bCs w:val="false"/>
                <w:i w:val="false"/>
                <w:iCs w:val="false"/>
              </w:rPr>
              <w:t xml:space="preserve">[For example: identity document personalization facility with HSM signing, Security Operations Center, penetration testing and ISO/IEC 27001 controls]</w:t>
            </w:r>
          </w:p>
        </w:tc>
        <w:tc>
          <w:tcPr>
            <w:tcW w:type="dxa" w:w="1119"/>
            <w:tcMar>
              <w:top w:type="dxa" w:w="60"/>
              <w:left w:type="dxa" w:w="100"/>
              <w:bottom w:type="dxa" w:w="60"/>
              <w:right w:type="dxa" w:w="100"/>
            </w:tcMar>
          </w:tcPr>
          <w:p>
            <w:pPr>
              <w:spacing w:after="0" w:before="0"/>
            </w:pPr>
            <w:r>
              <w:rPr>
                <w:b w:val="false"/>
                <w:bCs w:val="false"/>
                <w:i w:val="false"/>
                <w:iCs w:val="false"/>
              </w:rPr>
              <w:t xml:space="preserve">[Client letter]</w:t>
            </w:r>
          </w:p>
        </w:tc>
      </w:tr>
      <w:tr>
        <w:tc>
          <w:tcPr>
            <w:tcW w:type="dxa" w:w="2212"/>
            <w:tcMar>
              <w:top w:type="dxa" w:w="60"/>
              <w:left w:type="dxa" w:w="100"/>
              <w:bottom w:type="dxa" w:w="60"/>
              <w:right w:type="dxa" w:w="100"/>
            </w:tcMar>
          </w:tcPr>
          <w:p>
            <w:pPr>
              <w:spacing w:after="0" w:before="0"/>
            </w:pPr>
            <w:r>
              <w:rPr>
                <w:b w:val="false"/>
                <w:bCs w:val="false"/>
                <w:i w:val="false"/>
                <w:iCs w:val="false"/>
              </w:rPr>
              <w:t xml:space="preserve">[Reference 2]</w:t>
            </w:r>
          </w:p>
        </w:tc>
        <w:tc>
          <w:tcPr>
            <w:tcW w:type="dxa" w:w="5689"/>
            <w:tcMar>
              <w:top w:type="dxa" w:w="60"/>
              <w:left w:type="dxa" w:w="100"/>
              <w:bottom w:type="dxa" w:w="60"/>
              <w:right w:type="dxa" w:w="100"/>
            </w:tcMar>
          </w:tcPr>
          <w:p>
            <w:pPr>
              <w:spacing w:after="0" w:before="0"/>
            </w:pPr>
            <w:r>
              <w:rPr>
                <w:b w:val="false"/>
                <w:bCs w:val="false"/>
                <w:i w:val="false"/>
                <w:iCs w:val="false"/>
              </w:rPr>
              <w:t xml:space="preserve"/>
            </w:r>
          </w:p>
        </w:tc>
        <w:tc>
          <w:tcPr>
            <w:tcW w:type="dxa" w:w="1119"/>
            <w:tcMar>
              <w:top w:type="dxa" w:w="60"/>
              <w:left w:type="dxa" w:w="100"/>
              <w:bottom w:type="dxa" w:w="60"/>
              <w:right w:type="dxa" w:w="100"/>
            </w:tcMar>
          </w:tcPr>
          <w:p>
            <w:pPr>
              <w:spacing w:after="0" w:before="0"/>
            </w:pPr>
            <w:r>
              <w:rPr>
                <w:b w:val="false"/>
                <w:bCs w:val="false"/>
                <w:i w:val="false"/>
                <w:iCs w:val="false"/>
              </w:rPr>
              <w:t xml:space="preserve"/>
            </w:r>
          </w:p>
        </w:tc>
      </w:tr>
      <w:tr>
        <w:tc>
          <w:tcPr>
            <w:tcW w:type="dxa" w:w="2212"/>
            <w:tcMar>
              <w:top w:type="dxa" w:w="60"/>
              <w:left w:type="dxa" w:w="100"/>
              <w:bottom w:type="dxa" w:w="60"/>
              <w:right w:type="dxa" w:w="100"/>
            </w:tcMar>
          </w:tcPr>
          <w:p>
            <w:pPr>
              <w:spacing w:after="0" w:before="0"/>
            </w:pPr>
            <w:r>
              <w:rPr>
                <w:b w:val="false"/>
                <w:bCs w:val="false"/>
                <w:i w:val="false"/>
                <w:iCs w:val="false"/>
              </w:rPr>
              <w:t xml:space="preserve">[Reference 3]</w:t>
            </w:r>
          </w:p>
        </w:tc>
        <w:tc>
          <w:tcPr>
            <w:tcW w:type="dxa" w:w="5689"/>
            <w:tcMar>
              <w:top w:type="dxa" w:w="60"/>
              <w:left w:type="dxa" w:w="100"/>
              <w:bottom w:type="dxa" w:w="60"/>
              <w:right w:type="dxa" w:w="100"/>
            </w:tcMar>
          </w:tcPr>
          <w:p>
            <w:pPr>
              <w:spacing w:after="0" w:before="0"/>
            </w:pPr>
            <w:r>
              <w:rPr>
                <w:b w:val="false"/>
                <w:bCs w:val="false"/>
                <w:i w:val="false"/>
                <w:iCs w:val="false"/>
              </w:rPr>
              <w:t xml:space="preserve"/>
            </w:r>
          </w:p>
        </w:tc>
        <w:tc>
          <w:tcPr>
            <w:tcW w:type="dxa" w:w="1119"/>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Cybersecurity Risk Management Plan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b099a49541710f1332ff299646761b9f438d888.png"/><Relationship Id="rId10" Type="http://schemas.openxmlformats.org/officeDocument/2006/relationships/image" Target="media/7b19a536d6bf80c16c1e3efbeaa1ce3011e0f5c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Cybersecurity Risk Management Plan</dc:title>
  <dc:creator>Inkript</dc:creator>
  <cp:lastModifiedBy>Un-named</cp:lastModifiedBy>
  <cp:revision>1</cp:revision>
  <dcterms:created xsi:type="dcterms:W3CDTF">2026-10-07T07:43:17.968Z</dcterms:created>
  <dcterms:modified xsi:type="dcterms:W3CDTF">2026-10-07T07:43:17.968Z</dcterms:modified>
</cp:coreProperties>
</file>

<file path=docProps/custom.xml><?xml version="1.0" encoding="utf-8"?>
<Properties xmlns="http://schemas.openxmlformats.org/officeDocument/2006/custom-properties" xmlns:vt="http://schemas.openxmlformats.org/officeDocument/2006/docPropsVTypes"/>
</file>