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10.2 and 10.8; Cybersecurity Risk Management Plan Sections 7.4 and 11.1</w:t>
            </w:r>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 [CONFIRM: The proposal documents give only a general compliance statement (System Architecture Section 10.8). Inkript to confirm whether MACRA type approval is needed for the imported network and production equipment, that the bulk SMS provider is licensed, and that EMC certificate copies are attached for every machine (Document Register item 1.6). The MS1000 datasheet lists no certifications.]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9.4, 10.8 and 13.2;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10.4, 10.7 and 10.8; Cybersecurity Risk Management Plan Sections 7.4 and 11.1</w:t>
            </w:r>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 [CONFIRM: The proposal documents state compliance (System Architecture Section 10.8) but do not map the System to the Policy itself. Inkript to check this response against the Policy copy issued with the Responses to Queries 04.]</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 7.11, 8.3, 10.8 and 13.1</w:t>
            </w:r>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Inkript's own Environmental and Social Management Plan accompanies the proposal. Rejected and defective cards, which carry personal data, are destroyed by cross-cut shredding under dual custody, with a destruction certificate for every batch. [CONFIRM: Inkript's Environmental and Social Management Plan and related plans (Document Register items 5.4 to 5.8 and items 5.20 to 5.22) must be in the proposal. The four proposal documents contain only a compliance statement and no environmental or social measures.]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and 10.8; Cybersecurity Risk Management Plan Section 11.1;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2.3, 7.10, 7.14, 10.8 and 13.1</w:t>
            </w:r>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4.1, 4.5, 6.10 and 11.1</w:t>
            </w:r>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CIRA-registered subcontractor, as Addendum 2 requires, delivers the renovation under Inkript's single-point accountability. As clarified in the Responses to Queries 003 and Queries 04, new power, HVAC, fire, physical security and secure areas are designed without reliance on existing infrastructure, to the ICT Site Preparation Guide issued in week 4, with works in weeks 7 to 18. [GAP: The four proposal documents place the renovation under separate facility works (Preliminary Project Plan Section 1.1) and contain no gap assessment, bill of quantities, renovation method or plan for supervising the ancillary-equipment partner. Preliminary Project Plan Section 2.8 makes the facility works accountable for server room and floor readiness, with Inkript only consulted. A facility works method statement and supervision arrangement are needed.]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1.2 and 9.5; Preliminary Project Plan Sections 2.1 and 2.4; Cybersecurity Risk Management Plan Section 2.1;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 [CONFIRM: Depends on the card manufacturer's laboratory test reports, OEM letter and construction and feature confirmations (Document Register item 2.1, item 2.13, item 2.15 and item 2.16).]</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 4.1, 4.2, 4.4 and 4.6;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 [CONFIRM: The S8000 datasheet gives up to 2,000 cph per machine. Inkript to confirm, as Preliminary Project Plan Section 2.9 risk R3 requires, that each machine sustains at least 1,000 accepted cards per hour with full content, since the Responses to Queries 003 measure throughput on accepted finished cards. The laser datasheet lists neither tactile marking nor a 600 dpi resolution.]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3.2, 3.3 and 3.5;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 [CONFIRM: The MS1000 datasheet rates each machine at up to 1,000 cph standalone, exactly the required minimum with no margin, lists the card data reading station as optional, and runs Maticard Pro on Windows 8 and Windows 10. Inkript to confirm rate, QR reading and supported operating system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5.4, 5.6 and 5.7;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supplies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 [CONFIRM: Depends on the OEM software list with license texts and the machine software scope statement (Document Register item 1.7 and item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3.9, 6.14 and 12.2; Preliminary Project Plan Section 2.10;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3.3, 3.4, 3.5 and 3.7; System Architecture Section 12.4</w:t>
            </w:r>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delivers the facility turnkey as a single point of accountability: the equipment, two million cards, application software, ICT infrastructure at the primary and secondary sites, NRIS integration and the facility works subcontract,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1.1 and 1.2; Preliminary Project Plan Sections 2.1 and 2.2; Cybersecurity Risk Management Plan Section 2.1</w:t>
            </w:r>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2.1, 6.1, 9.1 and 10.1</w:t>
            </w:r>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 [CONFIRM: The Responses to Queries 04 require secure web-based system management for both personalization and mailing, while station status, faults and calibration run in the manufacturer's local operator interface (System Architecture Section 6.13). Inkript to confirm the OEM software or the web consoles cover this.]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6.6, 6.12 and 6.13</w:t>
            </w:r>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6.13 and 10.3</w:t>
            </w:r>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6.3, 6.11, 6.13 and 13.1; Preliminary Project Plan Section 2.4</w:t>
            </w:r>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2.3, 6.2 and 7.12</w:t>
            </w:r>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 [CONFIRM: These functions belong to the manufacturer's software. The S8000 datasheet lists grayscale, CLI/MLI and micro text but not tactile laser printing or calibration management; Inkript to confirm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3.8 and 6.7;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Inkript engages the operator and connects its tracking service through a configured interface. [CONFIRM: The Clarifications to Queries 005 make the Supplier solely responsible for engaging and contracting with postal operators, while System Architecture Section 8.6 and System Architecture Section 13.2 commit to engaging the operator and connecting its tracking service but leave physical delivery with NRB. Inkript to confirm the contracting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6.9, 8.3, 8.6 and 13.2</w:t>
            </w:r>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6.2 and 7.12</w:t>
            </w:r>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 7.2, 7.4 and 10.5</w:t>
            </w:r>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2.1, 4.5, 7.5, 7.14, 8.6, 10.7 and 13.2</w:t>
            </w:r>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9.3, 9.4, 10.2 and 12.3</w:t>
            </w:r>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7.8, 9.1 and 10.2</w:t>
            </w:r>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 [CONFIRM: The Responses to Queries 003 say NRB will provide its existing Active Directory for integration, while the Clarifications to Queries 005 require a net-new, self-contained solution using no existing NRB resources. System Architecture Section 10.3 runs the System's own directory. Inkript to confirm whether integration with NRB's Active Directory should also be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9.4 and 10.3</w:t>
            </w:r>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7.4, 10.2, 10.4 and 10.5</w:t>
            </w:r>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10.6 and 10.7</w:t>
            </w:r>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 [CONFIRM: Predictive maintenance depends on the equipment exposing the needed telemetry (System Architecture Section 12.2). Inkript to confirm with both equipment manufacturers.]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6.11 and 12.2</w:t>
            </w:r>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6.2, 9.1, 9.3 and 12.3</w:t>
            </w:r>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9.4</w:t>
            </w:r>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 [CONFIRM: The S8000 datasheet states up to 2,000 cph. Inkript to confirm each machine sustains at least 1,000 accepted duplex cards per hour with full content (Preliminary Project Plan Section 2.9 risk R3), and to obtain OEM evidence of independent station operation (Document Register item 1.13).]</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3.4 and 3.5; Preliminary Project Plan Section 4.3;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 [CONFIRM: The S8000 datasheet shows no cooling or air compressor detail and lists vision inspection as an option, which must be ordered. The dedicated power and air pressure document with the compressor specification (Document Register item 1.4) is needed from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and 3.6;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 [CONFIRM: The MS1000 datasheet rates up to 1,000 cph per machine with no margin, lists the reading station as optional, and does not show sealing, buffer modules or dispatch sorting. Inkript to confirm the configuration and rate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5.4, 5.5 and 5.6; Attachment: MS1000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Inkript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9.2, 9.3 and 12.3; Cybersecurity Risk Management Plan Section 8.1; Preliminary Project Plan Section 2.5</w:t>
            </w:r>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UPS, generator with automatic transfer, power distribution with rack PDUs and grounding; air conditioning with humidity control, precision cooling, air filtration and environmental monitoring linked to alerting; and biometric access control, CCTV, intrusion detection and clean agent fire suppression. As clarified in the Responses to Queries 003, none relies on existing site infrastructure. [GAP: System Architecture Section 9.5 states the provisions, but the proposal documents hold no facility design, ratings or product specifications for the UPS, generator, ATS, HVAC, CCTV, access control or fire suppression. These come from the facility works and should be added or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9.5 and 13.1</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9.2</w:t>
            </w:r>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10.2 and 10.3</w:t>
            </w:r>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12.1; Change Management Plan Sections 5.1 and 5.2</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3.9, 6.11, 9.5 and 12.2</w:t>
            </w:r>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10.3, 10.6 and 10.7</w:t>
            </w:r>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 [CONFIRM: Secure boot is stated for the hosts, virtual machines, backup storage and workstations, and signed firmware for the network, storage and security devices, but not for the equipment manufacturer's industrial control PCs on the personalization and mailing lines. The clause says all servers and devices, so Inkript to confirm secure boot on those PCs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9.1, 9.2, 10.2, 10.4, 10.5 and 10.7; Cybersecurity Risk Management Plan Sections 2.2 and 7.2</w:t>
            </w:r>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 [CONFIRM: The clause aims at uninterrupted card production, but the secondary environment carries only the data and application services: it has no personalization or mailing equipment, so a loss of the primary site stops card production until that site is restored. Inkript to confirm this position, which also applies to clause 1.5.2.6. Clarifications to Queries 005 leaves the RTO and RPO for the Supplier to define and agree with the Purchaser, and the figures are still to be agreed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9.3 and 12.3; Cybersecurity Risk Management Plan Sections 8.1 and 8.2</w:t>
            </w:r>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11.5 and 11.6</w:t>
            </w:r>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 [CONFIRM: Responses to Queries 003 states that throughput is measured on accepted finished cards, while Preliminary Project Plan Section 4.6 measures cards per hour without stating that basis. At the contractual rate, two lines over fourteen hours give exactly 28,000 cards, so any reject brings accepted output below the daily figure unless the lines run above 1,000 cards per hour. Inkript to align the measurement basis and confirm with the manufacturer the sustained accepted-card rate with the full duplex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3.5, 6.2 and 11.1;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 [CONFIRM: The datasheet figure of 2,000 cards per hour is a maximum ('up to'), not a measured sustained rate. Inkript to obtain the manufacturer's throughput test record for duplex personalization with the full card content before relying on the margin.]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3.5, 3.7, 6.2 and 11.1;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 [CONFIRM: The attached mailing system datasheet rates the machine at 'up to 1000 cph', exactly the contractual minimum per machine, which leaves no margin for rejects, stoppages or multi-card mailers, while operational acceptance test 4 requires 95 percent of nominal capacity at peak. The datasheet also describes the model as ideal for small to medium volumes. Inkript to confirm the sustained rate with the manufacturer or consider a higher-rated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5.3, 5.4, 5.5, 5.6 and 11.1;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6.13, 11.2 and 11.6;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11.2 and 11.6</w:t>
            </w:r>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 [CONFIRM: The 5 minute synchronization depends on the bandwidth and latency of the Government Wide Area Network link, which the Purchaser provisions against the Supplier's stated requirements (Responses to Queries 04). Inkript to state the required link figures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9.3; Preliminary Project Plan Section 4.4; Cybersecurity Risk Management Plan Section 8.1</w:t>
            </w:r>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11.3 and 11.6</w:t>
            </w:r>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6.13, 10.5 and 11.3</w:t>
            </w:r>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6.13, 9.1, 10.3 and 11.3</w:t>
            </w:r>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 [CONFIRM: Addendum No. 2 still lists magnetic encoding ('magnetic/laser engraving'). The card specified in clause 3.4 carries no magnetic stripe, and the proposal treats encoding as laser engraving only. Inkript to confirm that magnetic encoding is not required.]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3.7, 6.2, 7.12 and 11.4</w:t>
            </w:r>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5.3, 5.4, 8.1, 8.3, 8.6 and 11.4</w:t>
            </w:r>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6.11, 6.12, 6.13, 10.7, 11.4 and 12.1</w:t>
            </w:r>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10.2 and 11.4</w:t>
            </w:r>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7.6, 9.1, 11.4 and 11.5</w:t>
            </w:r>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11.4</w:t>
            </w:r>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10.6 and 11.4</w:t>
            </w:r>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 [CONFIRM: On loss of the primary storage array or site, the secondary environment carries the data and application services only, and card production resumes when the primary platform is restored. Inkript to confirm this position is acceptable against 'failover and disaster recovery mode', or record it as a limitation.]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9.3 and 11.5; Change Management Plan Section 5.2</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6.11, 11.6 and 12.2</w:t>
            </w:r>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11.6; Preliminary Project Plan Sections 4.3, 4.4, 4.5 and 4.6</w:t>
            </w:r>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10.1 and 10.8; Cybersecurity Risk Management Plan Sections 3.1 and 6.3</w:t>
            </w:r>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10.1, 10.2, 10.3, 10.4, 10.5 and 10.6</w:t>
            </w:r>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10.2 and 11.4</w:t>
            </w:r>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 [CONFIRM: Responses to Queries 003 says NRB will provide its existing Active Directory for integration, while Clarifications to Queries 005 requires a net-new, self-contained solution using no existing NRB resources. The proposal supplies its own directory. Inkript to confirm whether any trust or synchronization with NRB's Active Directory is expected.]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9.1 and 10.3</w:t>
            </w:r>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10.5; Cybersecurity Risk Management Plan Sections 6.2 and 6.3</w:t>
            </w:r>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9.4, 10.7, 10.8 and 12.1; Cybersecurity Risk Management Plan Section 3.2</w:t>
            </w:r>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9.5 and 10.7</w:t>
            </w:r>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 Clarifications to Queries 005, Inkript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10.7; Cybersecurity Risk Management Plan Sections 7.1, 7.2, 7.4 and 9.4</w:t>
            </w:r>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 [CONFIRM: The independent penetration testing firm is not yet named. Inkript to select it and confirm that the annual tests are priced for the full period in which they are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6.2, 6.3 and 9.3; System Architecture Section 10.5;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9.3 and 12.3; Cybersecurity Risk Management Plan Sections 8.1 and 8.2</w:t>
            </w:r>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and, as Responses to Queries 003 requires, each team member holds the certifications for the role, including CISSP, CISM and CEH for the Cybersecurity and PKI Specialist, CCNA and CCNP for the Network Engineer, and CREST or equivalent accreditation for the independent penetration tester. [CONFIRM: The certifications are stated for the roles. Inkript to confirm that the named candidates' CVs and certificate copies carry them before submission.]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1.2, 9.3 and 11.3;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the mandatory certification, maintained throughout the Contract, with the certificate copy attached. The card manufacturer's ISO 9001 certificate is attached, and technical change control is structured on ITIL 4 change enablement and ISO/IEC 20000-1 change management. [GAP: No document states whether Inkript holds ISO 9001 or ISO/IEC 20000-1 (Cybersecurity Risk Management Plan Section 11.2 is marked [Inkript to confirm]). Clarifications to Queries 005, answering a question that cited this clause, says all minimum specifications are strict, non-negotiable baselines, so the 'preferred' certifications may be evaluated as required. Responses to Queries 003 lets team members or partners hold certifications for their roles, so the card manufacturer's ISO 9001 certificate (register item 2.3) helps, but no ISO/IEC 20000-1 holder is identified. Attach Inkript's or a partner's certificates if held.]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1.2, 11.1 and 11.3; Change Management Plan Section 1.2; Attachment: Inkript ISO/IEC 27001 certificate; Attachment: Card manufacturer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1.2 and 3.2; System Architecture Sections 10.5 and 10.8</w:t>
            </w:r>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Responses to Queries 04 and Clarifications to Queries 005. Signature formats align with eIDAS digital signature standards. [CONFIRM: The HSM model is not named in any document, and its FIPS 140 validation certificate, which Cybersecurity Risk Management Plan Section 11.3 says is attached, is not in the tender document register. Inkript to select the model and attach the certificate.]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10.4 and 13.1; Cybersecurity Risk Management Plan Section 11.3</w:t>
            </w:r>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10.2 and 10.8; Cybersecurity Risk Management Plan Section 11.1</w:t>
            </w:r>
          </w:p>
        </w:tc>
      </w:tr>
    </w:tbl>
    <w:p>
      <w:pPr>
        <w:spacing w:after="140"/>
      </w:pPr>
    </w:p>
    <w:p>
      <w:r>
        <w:br w:type="page"/>
      </w:r>
    </w:p>
    <w:p>
      <w:r>
        <w:br w:type="page"/>
      </w:r>
    </w:p>
    <w:p>
      <w:pPr>
        <w:pStyle w:val="Heading1"/>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Inkript accepts single-point responsibility for the integration.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1.2, 6.4 and 7.1</w:t>
            </w:r>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designs each interface in an Interface Control Document and develops, tests and deploys its production side over REST APIs, SOAP web services, secure file transfer, message queues and middleware, or database integration. As clarified in the Responses to Queries 003 and Clarifications to Queries 005, NRB developers build the NRIS side and the Purchaser provides its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 7.2 and 13.1; Preliminary Project Plan Section 2.5</w:t>
            </w:r>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7.3; Preliminary Project Plan Section 2.3</w:t>
            </w:r>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7.3</w:t>
            </w:r>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7.4, 10.5 and 13.1</w:t>
            </w:r>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7.2 and 7.12</w:t>
            </w:r>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Clarifications to Queries 005, the main route is the NRIS API the Purchaser provides.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7.5 and 13.2</w:t>
            </w:r>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7.2 and 7.6</w:t>
            </w:r>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7.14 and 10.6</w:t>
            </w:r>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and 7.14</w:t>
            </w:r>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Clarifications to Queries 005, the secondary environment is provisioned at the existing NRB disaster recovery site in Blantyre.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7.15 and 9.3; Cybersecurity Risk Management Plan Section 8.1</w:t>
            </w:r>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6.2, 6.4 and 7.7</w:t>
            </w:r>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7.8 and 10.2</w:t>
            </w:r>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4.5, 6.3 and 7.9;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 [CONFIRM: The Laser personalization system datasheet lists vision inspection (OCR, OCV and 2D code validation of every card) as an optional module. Inkript to confirm it is in the configuration ordered, since System Architecture Section 3.6 commits to in-line verification of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3.6, 6.8 and 7.9;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2.3 and 7.10</w:t>
            </w:r>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6.4 and 7.11</w:t>
            </w:r>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5.3, 5.7, 6.9 and 8.6</w:t>
            </w:r>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Clarifications to Queries 005, Inkript engages the postal operator and connects the System to its tracking service. [CONFIRM: Clarifications to Queries 005 makes the Supplier solely responsible for engaging and contracting with postal operators. System Architecture Section 8.6 and System Architecture Section 13.2 commit only to engaging the operator and connecting its tracking service, and keep physical delivery with NRB. Inkript to confirm the contracting position and align both sections.]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8.1, 8.2, 8.3 and 8.6</w:t>
            </w:r>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7.15, 8.3 and 8.4</w:t>
            </w:r>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3.7 and 7.12</w:t>
            </w:r>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6.11 and 7.13</w:t>
            </w:r>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Sections 4.1 and 4.4</w:t>
            </w:r>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7.16 and 11.6;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 4.4; Cybersecurity Risk Management Plan Section 6.2</w:t>
            </w:r>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Sections 4.1 and 4.4</w:t>
            </w:r>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7.17; Preliminary Project Plan Section 2.10</w:t>
            </w:r>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20"/>
        <w:gridCol w:w="4900"/>
        <w:gridCol w:w="2000"/>
      </w:tblGrid>
      <w:tr>
        <w:trPr>
          <w:tblHeader/>
        </w:trPr>
        <w:tc>
          <w:tcPr>
            <w:tcW w:type="dxa" w:w="212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20"/>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Inkript recommends 24 user trainees against a minimum of 16 to staff two shifts, with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3.2 and 3.3</w:t>
            </w:r>
          </w:p>
        </w:tc>
      </w:tr>
      <w:tr>
        <w:tc>
          <w:tcPr>
            <w:tcW w:type="dxa" w:w="2120"/>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3.3 and 3.8</w:t>
            </w:r>
          </w:p>
        </w:tc>
      </w:tr>
      <w:tr>
        <w:tc>
          <w:tcPr>
            <w:tcW w:type="dxa" w:w="2120"/>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and 3.3</w:t>
            </w:r>
          </w:p>
        </w:tc>
      </w:tr>
      <w:tr>
        <w:tc>
          <w:tcPr>
            <w:tcW w:type="dxa" w:w="2120"/>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3.3 and 3.7</w:t>
            </w:r>
          </w:p>
        </w:tc>
      </w:tr>
      <w:tr>
        <w:tc>
          <w:tcPr>
            <w:tcW w:type="dxa" w:w="2120"/>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3.4 and 3.6</w:t>
            </w:r>
          </w:p>
        </w:tc>
      </w:tr>
      <w:tr>
        <w:tc>
          <w:tcPr>
            <w:tcW w:type="dxa" w:w="2120"/>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Inkript recommends 15 technical trainees against a minimum of nine, so that no technical role rests on one trained person, with stated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3.2 and 3.4</w:t>
            </w:r>
          </w:p>
        </w:tc>
      </w:tr>
      <w:tr>
        <w:tc>
          <w:tcPr>
            <w:tcW w:type="dxa" w:w="2120"/>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3.4</w:t>
            </w:r>
          </w:p>
        </w:tc>
      </w:tr>
      <w:tr>
        <w:tc>
          <w:tcPr>
            <w:tcW w:type="dxa" w:w="2120"/>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3.4 and 3.8</w:t>
            </w:r>
          </w:p>
        </w:tc>
      </w:tr>
      <w:tr>
        <w:tc>
          <w:tcPr>
            <w:tcW w:type="dxa" w:w="2120"/>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3.4</w:t>
            </w:r>
          </w:p>
        </w:tc>
      </w:tr>
      <w:tr>
        <w:tc>
          <w:tcPr>
            <w:tcW w:type="dxa" w:w="2120"/>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3.4 and 3.6</w:t>
            </w:r>
          </w:p>
        </w:tc>
      </w:tr>
      <w:tr>
        <w:tc>
          <w:tcPr>
            <w:tcW w:type="dxa" w:w="2120"/>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3.2 and 3.5</w:t>
            </w:r>
          </w:p>
        </w:tc>
      </w:tr>
      <w:tr>
        <w:tc>
          <w:tcPr>
            <w:tcW w:type="dxa" w:w="2120"/>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3.5</w:t>
            </w:r>
          </w:p>
        </w:tc>
      </w:tr>
      <w:tr>
        <w:tc>
          <w:tcPr>
            <w:tcW w:type="dxa" w:w="2120"/>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 [GAP: Preliminary Project Plan Section 3.5 names an executive briefing, workshops and facilitated sessions, but not strategy sessions or presentations. Add both to its Mode and duration paragraph.]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3.5</w:t>
            </w:r>
          </w:p>
        </w:tc>
      </w:tr>
      <w:tr>
        <w:tc>
          <w:tcPr>
            <w:tcW w:type="dxa" w:w="2120"/>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3.5; System Architecture Section 6.11</w:t>
            </w:r>
          </w:p>
        </w:tc>
      </w:tr>
      <w:tr>
        <w:tc>
          <w:tcPr>
            <w:tcW w:type="dxa" w:w="2120"/>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3.5 and 3.6</w:t>
            </w:r>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4.7</w:t>
            </w:r>
          </w:p>
        </w:tc>
      </w:tr>
      <w:tr>
        <w:tc>
          <w:tcPr>
            <w:tcW w:type="dxa" w:w="2000"/>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Change Management Plan Section 6.2</w:t>
            </w:r>
          </w:p>
        </w:tc>
      </w:tr>
      <w:tr>
        <w:tc>
          <w:tcPr>
            <w:tcW w:type="dxa" w:w="2000"/>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3.7</w:t>
            </w:r>
          </w:p>
        </w:tc>
      </w:tr>
      <w:tr>
        <w:tc>
          <w:tcPr>
            <w:tcW w:type="dxa" w:w="2000"/>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 [GAP: The facility inspection checklist is not listed in Preliminary Project Plan Section 2.10. Add it to the Operational and maintenance checklists row, or confirm it is delivered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4.7</w:t>
            </w:r>
          </w:p>
        </w:tc>
      </w:tr>
      <w:tr>
        <w:tc>
          <w:tcPr>
            <w:tcW w:type="dxa" w:w="2000"/>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Cybersecurity Risk Management Plan Section 8.2; System Architecture Sections 9.3 and 12.3</w:t>
            </w:r>
          </w:p>
        </w:tc>
      </w:tr>
      <w:tr>
        <w:tc>
          <w:tcPr>
            <w:tcW w:type="dxa" w:w="2000"/>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5.1 and 5.6; System Architecture Section 12.4</w:t>
            </w:r>
          </w:p>
        </w:tc>
      </w:tr>
      <w:tr>
        <w:tc>
          <w:tcPr>
            <w:tcW w:type="dxa" w:w="2000"/>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6.14</w:t>
            </w:r>
          </w:p>
        </w:tc>
      </w:tr>
      <w:tr>
        <w:tc>
          <w:tcPr>
            <w:tcW w:type="dxa" w:w="2000"/>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 [GAP: Physical layout drawings, facility floor plans and the power and cooling design are not named as deliverables in Preliminary Project Plan Section 2.10, including its facility works paragraph. Add them there. The Purchaser's ground floor plan, provided by the Buildings Department as stated in the Responses to Queries 003, is the base.]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2.4 and 2.10; System Architecture Sections 9.5 and 13.1</w:t>
            </w:r>
          </w:p>
        </w:tc>
      </w:tr>
      <w:tr>
        <w:tc>
          <w:tcPr>
            <w:tcW w:type="dxa" w:w="2000"/>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12.1</w:t>
            </w:r>
          </w:p>
        </w:tc>
      </w:tr>
      <w:tr>
        <w:tc>
          <w:tcPr>
            <w:tcW w:type="dxa" w:w="2000"/>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4.7; System Architecture Section 7.17</w:t>
            </w:r>
          </w:p>
        </w:tc>
      </w:tr>
      <w:tr>
        <w:tc>
          <w:tcPr>
            <w:tcW w:type="dxa" w:w="2000"/>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courier or postal interface. [GAP: Third-party integration procedures are not named in Preliminary Project Plan Section 2.10. Add them to the Integration documentation row, covering the courier or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Sections 7.2, 7.17 and 8.6</w:t>
            </w:r>
          </w:p>
        </w:tc>
      </w:tr>
      <w:tr>
        <w:tc>
          <w:tcPr>
            <w:tcW w:type="dxa" w:w="2000"/>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Cybersecurity Risk Management Plan Sections 6.3 and 9.1</w:t>
            </w:r>
          </w:p>
        </w:tc>
      </w:tr>
      <w:tr>
        <w:tc>
          <w:tcPr>
            <w:tcW w:type="dxa" w:w="2000"/>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Sections 11.4 and 12.3</w:t>
            </w:r>
          </w:p>
        </w:tc>
      </w:tr>
      <w:tr>
        <w:tc>
          <w:tcPr>
            <w:tcW w:type="dxa" w:w="2000"/>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4.1 and 4.7</w:t>
            </w:r>
          </w:p>
        </w:tc>
      </w:tr>
      <w:tr>
        <w:tc>
          <w:tcPr>
            <w:tcW w:type="dxa" w:w="2000"/>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Sections 12.2 and 12.5</w:t>
            </w:r>
          </w:p>
        </w:tc>
      </w:tr>
      <w:tr>
        <w:tc>
          <w:tcPr>
            <w:tcW w:type="dxa" w:w="2000"/>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Electrical drawings, UPS configuration, generator integration, HVAC, fire suppression, access control, CCTV, structured cabling, raised floor and environmental monitoring documentation are delivered under the facility works of the turnkey contract. Environmental, power and UPS sensors installed under those works feed the System's monitoring and alerting. [GAP: Preliminary Project Plan Section 2.10 places facility documentation under the facility works and omits environmental monitoring setup. No proposal document commits to the ten items. The facility works documentation list, prepared with the rehabilitation subcontractor, must name all ten.]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9.5</w:t>
            </w:r>
          </w:p>
        </w:tc>
      </w:tr>
      <w:tr>
        <w:tc>
          <w:tcPr>
            <w:tcW w:type="dxa" w:w="2000"/>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certificate, the card manufacturer's ISO certificates and the hardware security modules' FIPS 140 certificates are attached. [GAP: Regulatory approvals are not listed in Preliminary Project Plan Section 2.10. Add them to the Compliance and certification documentation row.]</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13.1; Cybersecurity Risk Management Plan Section 11.3; Attachment: ISO/IEC 27001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 [GAP: No cited document names the Project Team Leader or states the qualifications. The CV, the Candidate Summary form and the Project Organization and Management Sub-Plan must evidence them. A Master's degree and PMP, PRINCE2 Practitioner or PMI-ACP certification add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 [GAP: No proposal document names this role, and the rehabilitation subcontractor's CVs are not yet in hand. Confirm the nominee with the subcontractor and evidence through the CV and certificates. The facility works plan should state the assessment, rehabilitation and implementation plan duties, including compatibility with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sits on the change board as Supplier technical lead. The nominee holds a Bachelor's degree in a listed field, at least five years in solution architecture, systems integration, interoperability and technical assurance, and TOGAF and solutions architecture certification. [CONFIRM: Cybersecurity Risk Management Plan Section 9.3 states only that the role meets the clause 2.4 qualifications. No document states the degree, years or certifications. Confirm against the nominee's CV, including OEM solution certifications where possible.]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9.3; Change Management Plan Sections 3.1 and 6.1;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 [CONFIRM: The OEM certificate for the named engineer must be obtained from the equipment manufacturer. Preliminary Project Plan Section 3.8 does not state security feature implementation, and the clause still names chip encoding although the Response to Clarifications 001 confirms chipless cards. Confirm the CV shows both.]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 [CONFIRM: Confirm the CV shows mailing systems integrated with personalization and national ID systems, and high-volume print, mailing and dispatch experience, which Preliminary Project Plan Section 3.8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Change Management Plan Section 6.1;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 [CONFIRM: Attach the CV and the CISSP, CISM and CEH certificates as Cybersecurity Risk Management Plan Section 11.3 states, and confirm experience with access control systems, which the clause lists.]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9.3 and 11.3; Preliminary Project Plan Section 3.8;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 [CONFIRM: Confirm the CV covers encryption systems, covert and forensic security, and tactile and laser-Braille elements, which Preliminary Project Plan Section 3.8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System Architecture Section 12.4;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 [CONFIRM: Confirm the CV includes government system integration certification or experience, which the clause lists and Preliminary Project Plan Section 3.8 omits.]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Change Management Plan Section 6.1;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 [CONFIRM: Confirm the CV shows network redundancy experience, which the clause lists. Fortinet or Palo Alto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9.3; Preliminary Project Plan Section 3.8;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 [GAP: The role is named only in System Architecture Section 12.4, for post-acceptance assistance. No cited document states its qualifications or its assignment during supply and installation. Evidence through the CV and the facility works staffing,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12.4;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and change management from week 1 to week 32. [CONFIRM: Confirm the trainer and change management certificates, Prosci where held, are attached with the Key Personnel forms.]</w:t>
            </w:r>
          </w:p>
        </w:tc>
        <w:tc>
          <w:tcPr>
            <w:tcW w:type="dxa" w:w="2000"/>
            <w:tcMar>
              <w:top w:type="dxa" w:w="60"/>
              <w:left w:type="dxa" w:w="100"/>
              <w:bottom w:type="dxa" w:w="60"/>
              <w:right w:type="dxa" w:w="100"/>
            </w:tcMar>
          </w:tcPr>
          <w:p>
            <w:pPr>
              <w:spacing w:after="0" w:before="0"/>
            </w:pPr>
            <w:r>
              <w:rPr>
                <w:b w:val="false"/>
                <w:bCs w:val="false"/>
                <w:i w:val="false"/>
                <w:iCs w:val="false"/>
              </w:rPr>
              <w:t xml:space="preserve">Change Management Plan Section 6.1; Preliminary Project Plan Section 3.8;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 [GAP: No cited document names the HSE Officer. Evidence through the CV and the Occupational Health and Safety Plan,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 [CONFIRM: Cybersecurity Risk Management Plan Section 9.3 names the role and states only that it meets the clause 2.4 qualifications. Confirm the degree, years, ISTQB and test experience against the CV. ISO 9001 Lead Auditor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9.1 and 9.3;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 [CONFIRM: Confirm the CV shows hardware and software integration experience, and design and support of the personalization, mailing and NRIS-integrated ICT environment, which Preliminary Project Plan Section 3.8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System Architecture Section 12.4; Attachment: Key Personnel CVs and certificates</w:t>
            </w:r>
          </w:p>
        </w:tc>
      </w:tr>
    </w:tbl>
    <w:p>
      <w:pPr>
        <w:spacing w:after="140"/>
      </w:pPr>
    </w:p>
    <w:p>
      <w:r>
        <w:br w:type="page"/>
      </w:r>
    </w:p>
    <w:p>
      <w:r>
        <w:br w:type="page"/>
      </w:r>
    </w:p>
    <w:p>
      <w:pPr>
        <w:pStyle w:val="Heading1"/>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6.13 and 9.4</w:t>
            </w:r>
          </w:p>
        </w:tc>
      </w:tr>
      <w:tr>
        <w:tc>
          <w:tcPr>
            <w:tcW w:type="dxa" w:w="1450"/>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 [CONFIRM: The MS1000 mailing system datasheet states no electrical input range, and no datasheet confirms British Standard plugs. Obtain manufacturer confirmation for the mailing systems and the ICT equipment.]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9.4;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 [CONFIRM: No datasheet states a dust tolerance, and the MS1000 mailing system datasheet gives no operating environment. Obtain manufacturer confirmation.]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and 9.5;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 [CONFIRM: No datasheet states a noise level. Obtain the manufacturers' declared noise levels for the personalization and mailing systems.]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9.4; Preliminary Project Plan Section 4.3</w:t>
            </w:r>
          </w:p>
        </w:tc>
      </w:tr>
      <w:tr>
        <w:tc>
          <w:tcPr>
            <w:tcW w:type="dxa" w:w="1450"/>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 [CONFIRM: The laser datasheet lists FCC without the class, and the mailing datasheet lists no certification. Section IV of the RFP requires certificate copies in the proposal: obtain FCC Class B or EN 55022 certificates for the laser, mailing and ICT equipment. The RFP's 'END' is read as EN.]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9.4;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1.1 and 3.1;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 [CONFIRM: System Architecture Section 3.5 does not yet state that throughput is measured on accepted finished cards, as the Responses to Queries 003 require. Confirm with the manufacturer the rated duplex output with the full personalization content, allowing for the 1 percent reject rate.]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3.5 and 11.1; Preliminary Project Plan Section 4.3;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 [CONFIRM: The laser datasheet lists CLI/MLI and micro text as optional features and does not mention tactile laser printing. Confirm these options are in the configuration ordered and obtain manufacturer evidence for tactile marking, since this criterion is scored on documentary evidence. The meaning of 'both alphanumeric values' and the QR specification are still to come from the Purchaser.]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and 6.7; Preliminary Project Plan Section 4.3;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4.4 and 6.13; Preliminary Project Plan Section 2.3</w:t>
            </w:r>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 [CONFIRM: Vision inspection is listed as an optional module on the S8000 laser datasheet. Confirm it is included on both machines in the configuration ordered.]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3.6 and 6.8;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3.6; Preliminary Project Plan Section 4.3</w:t>
            </w:r>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3.7 and 6.8; Preliminary Project Plan Section 4.3</w:t>
            </w:r>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3.9 and 6.6</w:t>
            </w:r>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 [CONFIRM: The S8000 laser datasheet lists a single emergency stop button. Confirm with the manufacturer that emergency stop buttons are positioned around the assembled modular line, reachable from each operator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Preliminary Project Plan Sections 3.8 and 4.3;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and 3.2;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6.3 and 13.1; Preliminary Project Plan Section 2.4</w:t>
            </w:r>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6.3</w:t>
            </w:r>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 [CONFIRM: The laser datasheet states no marking resolution. Obtain the manufacturer's figure, ideally a measured sample, since this criterion is scored on the quality of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and 3.3;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 [CONFIRM: The laser datasheet confirms micro text but gives no resolution or line size. Obtain the manufacturer's figure or a measured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3.3;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and 3.9;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Preliminary Project Plan Section 5.4;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w:t>
            </w:r>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3.8 and 6.7;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3.8; Preliminary Project Plan Section 5.4</w:t>
            </w:r>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 [CONFIRM: Scored on documentary evidence (Document Register item 1.13). The laser datasheet does not show that each LX module marks a whole card alone. Obtain manufacturer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3.4;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 [CONFIRM: Confirm with the manufacturer the hourly rate of one machine with a station out of service, since the clause requires that the production flow is not degraded.]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3.4 and 3.8;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 [GAP: The datasheet on file gives no weight and only per-module dimensions, not the assembled line. The System Architecture subsection 'Technical data and installation requirements' is listed in its contents but not yet drafted. Obtain weight and overall dimensions for the configuration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System Architecture Sections 3.1 and 3.9</w:t>
            </w:r>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 [GAP: Wavelength, operational lifespan and maintenance intervals are not in any document on file. Obtain the Laser Engraving Unit Details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Preliminary Project Plan Section 5.4</w:t>
            </w:r>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 [GAP: Air pressure, flow rate and compressor figures are not on file, and the datasheet does not say whether 2,500 W is per module or per machine. Obtain the dedicated document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System Architecture Section 3.1</w:t>
            </w:r>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and 5.2; Preliminary Project Plan Section 4.3;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5.2 and 5.3; Preliminary Project Plan Section 4.5;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 [CONFIRM: The card data reading station is an optional module on the MS1000 datasheet, which does not state 1D, 2D and QR capability. Confirm it is configured on both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5.4; Preliminary Project Plan Section 4.3</w:t>
            </w:r>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5.2 and 6.9;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5.1</w:t>
            </w:r>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5.4 and 5.5;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 [CONFIRM: Buffer modules do not appear on the MS1000 datasheet. Confirm with the manufacturer that they are available and included in the configuration.]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5.5 and 11.1; Preliminary Project Plan Section 4.3</w:t>
            </w:r>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5.7, 7.1, 7.2 and 8.4</w:t>
            </w:r>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Inkript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6.9, 8.6 and 13.2</w:t>
            </w:r>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 [CONFIRM: The MS1000 datasheet rates each line at up to 1,000 cards per hour, exactly the per-machine minimum, leaving no margin for rejects or stoppages. Confirm the sustained rate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5.6 and 11.1; Preliminary Project Plan Sections 4.3 and 4.6;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Inkript engages the operator that delivers the cards and connects the System to its tracking service. [GAP: The Clarifications to Queries 005 make the Supplier 'solely responsible for engaging and contracting with necessary Postal Operators'. System Architecture Section 8.6 and System Architecture Section 13.2 commit only to engaging for data exchange, and place physical delivery with NRB's own fleet. Decide whether Inkript contracts the postal operator for last-mile delivery, then align both sections and this row.]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8.2, 8.6 and 13.2</w:t>
            </w:r>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 [CONFIRM: Depends on the card manufacturer's construction confirmation and laboratory test reports, which must be obtained.]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1.1, 4.1 and 4.6;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 [CONFIRM: The card manufacturer must confirm every front feature, including the crystal pattern security background, which System Architecture Section 4.2 does not list separately from the photonic crystal elements. The Responses to Queries 04 make OVMI and thermochromic ink mandatory, with no alternatives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4.2;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 [CONFIRM: System Architecture Section 4.3 omits photonic crystal on the back and relies on the Responses to Queries 04. The clause itself lists it, so consider adding it if the card manufacturer offers dual-sided photonic crystal.]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4.2 and 4.3;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 [CONFIRM: Depends on the same manufacturer evidence as clause 3.1.3 and clause 3.2.2.1.1: the laser datasheet states no marking resolution and does not mention tactile laser printing.]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4.4 and 4.5</w:t>
            </w:r>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 [CONFIRM: Images and physical samples must be obtained from the card manufacturer. The final Malawi design is agreed after award under the Clarifications to Queries 005, so the bid images show a representative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4.7; Preliminary Project Plan Section 4.5;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 [CONFIRM: Reports must be obtained from the card manufacturer and checked to cover all fourteen tests within three years. The Responses to Queries 04 accept redacted reports and require a laboratory holding government mandates for national ID.]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4.1 and 4.6;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renovates the designated ground floor area into a secure, production-ready facility for both personalization lines and both mailing lines, delivered under the facility works by a CIRA-registered rehabilitation contractor in weeks 7 to 18. As clarified in the Responses to Queries 04, the design relies on no existing electrical, HVAC, ICT or security infrastructure. [GAP: The four proposal documents defer this to 'the facility works', which has no document of its own, and none of them names the CIRA-registered contractor. A facility works plan covering every clause 3.5 item is needed for this and the following renovation rows.]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 System Architecture Sections 9.5 and 13.1;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scheduled as phase 4 of the implementation plan. They are coordinated with the Information System through the ICT Site Preparation Guide, a readiness inspection in week 18 and building-level checks in pre-commissioning. [GAP: The four proposal documents defer this to 'the facility works', which has no document of its own. No facility works method or scope statement exists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 2.4, 2.9 and 4.5</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a site survey verifies dimensions, structural suitability, electrical load capacity and environmental conditions, identifies renovation requirements and leads to implementation drawings and designs, with the ICT Site Preparation Guide setting loads, power, heat and clearances. As clarified in the Responses to Queries 003, NRB coordinates Buildings Department approval of the structural and electrical designs. [GAP: Only equipment positions, delivery routes and the ICT Site Preparation Guide are described. The structural, electrical load and environmental assessments and the implementation drawings are not. As clarified in the Responses to Queries 04, the ground floor plan is provided and a further site visit may be arranged.]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2.3 and 2.4; System Architecture Section 13.1</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all to the approved room layout. Raised floor records are delivered with the facility documentation. [GAP: The four proposal documents defer this to 'the facility works', which has no document of its own. Only raised floor records are mentioned. The refurbishment items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 and 2.10;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Separated secure areas are built for card personalization, blank card storage sized for all 2,000,000 cards, consumables storage, quality assurance, secure destruction, packaging and mailing, the server room, the control room and operator workspaces, so that stock reconciliation rests on physically controlled custody. [GAP: System Architecture Section 9.5 names the blank card store, personalization, data processing and destruction areas, and System Architecture Section 10.7 the control room. The consumables store, quality assurance room, packaging and mailing room and operator workspaces are not named.]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9.5 and 10.7; Preliminary Project Plan Section 2.7</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secure locks, security cages and secure storage installations for the blank card store and the destruction area, with entry under biometric access control and every opening logged and correlated with system activity. [GAP: The four proposal documents defer this to 'the facility works', which has no document of its own. Physical reinforcement is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9.5; Cybersecurity Risk Management Plan Sections 5.2 and 10</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dedicated circuits, distribution boards, protection, isolators and breakers, earthing, lightning protection, outlets, cable management and emergency lighting, with UPS sized for production and server loads and generator support with automatic transfer. As clarified in the Responses to Queries 04, NRB supplies a dedicated power connection to the approved design. [GAP: Only UPS, generator, power distribution and grounding are described. Rewiring, protection devices, lightning protection and emergency lighting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13.1; Preliminary Project Plan Section 2.7</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9.5 and 12.2</w:t>
            </w:r>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with data center rack arrangements in the server room. Cable management and labeling are verified in pre-commissioning. [GAP: Fiber cabling, cable trays, conduits and network outlets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and 9.5; Preliminary Project Plan Section 4.5</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internationally recognized structured cabling standards, and the cabling records are delivered with the facility documentation. Connectivity, throughput and redundancy are verified in the network infrastructure pre-commissioning test. [GAP: No cabling standard is named. Name the standards in the facility works plan, for example ISO/IEC 11801 or ANSI/TIA-568.]</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4.5</w:t>
            </w:r>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Biometric access control,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 [GAP: Smart card access and role-based zones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10.7; Cybersecurity Risk Management Plan Section 10</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Internal and external closed circuit television cameras cover the production area, secure stores, server room and perimeter, recording to a video recording system with centralized monitoring and long-term storage under a defined retention period. [GAP: System Architecture Section 9.5 states only closed circuit television with defined retention. Camera coverage, recording, monitoring and the retention period need specifying.]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9.5</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Intrusion detection with motion sensors, door sensors, alarm systems and panic alarms is installed across the facility, and intrusion alarm events feed the security information and event management system for correlation with system events. [GAP: Sensor types and panic alarms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10.7; Cybersecurity Risk Management Plan Section 10</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10.6 and 10.7; Cybersecurity Risk Management Plan Section 10</w:t>
            </w:r>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 [GAP: Detector types, extinguishers and evacuation signage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9.5</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 [GAP: No fire safety standard is named. Name them in the facility works plan, for example NFPA 72 and NFPA 2001 or the BS EN equivalents.]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 [GAP: Ergonomic furniture and the quality control and consumables handling stations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2.4 and 4.5; System Architecture Sections 6.10 and 9.4</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Occupational Health and Safety Plan, the Environmental and Social Management Plan and the Waste Management Plan submitted with the proposal, covering safe working practices, environmental compliance, segregation and disposal of construction, electronic and hazardous waste, and hazard management during the works. [GAP: These plans are mandatory under PDS ITP 11.2(j) but are not in the repository. Prepare them and make sure they cover the renovation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System Architecture Section 10.8</w:t>
            </w:r>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and physical security systems are tested and commissioned under the facility works. The Pre-Commissioning Test Program, as amended by Addendum No. 2, then covers network and cabling, access control, production workflow simulation, performance and capacity under load, and pilot production readiness, followed by the operational acceptance tests. [GAP: The electrical power and environmental systems tests of Table A are marked as performed under the facility works, with no test plan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4.5 and 4.6</w:t>
            </w:r>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5.4</w:t>
            </w:r>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It complements the Information System training, which covers emergency stops and safe working at the lines and includes a facility management participant in management training. [GAP: The facility training curriculum, trainees and schedule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3.2 and 3.8</w:t>
            </w:r>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[GAP: The defect liability period for the facility works is not stated.]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5.1 and 5.4</w:t>
            </w:r>
          </w:p>
        </w:tc>
      </w:tr>
    </w:tbl>
    <w:p>
      <w:pPr>
        <w:spacing w:after="140"/>
      </w:pPr>
    </w:p>
    <w:p>
      <w:r>
        <w:br w:type="page"/>
      </w:r>
    </w:p>
    <w:p>
      <w:r>
        <w:br w:type="page"/>
      </w:r>
    </w:p>
    <w:p>
      <w:pPr>
        <w:pStyle w:val="Heading1"/>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29"/>
        <w:gridCol w:w="2001"/>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2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 [CONFIRM: The equipment manufacturer's written FAT hosting confirmation (Document Register item 1.9) must be obtained and attached; it is mandatory for clause 4.1.1.]</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3.4 and 4.3;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 [GAP: The documents describe delivery inspection in one line only. The method itself is not described: checking against the packing list and purchase order, checking damage and shock indicators, capturing serial numbers at receipt, handling discrepancies and shortages, and NRB sign-off. Suggest adding a short delivery inspection procedure to Preliminary Project Plan Section 4.1.]</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2.10 and 4.1</w:t>
            </w:r>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09"/>
        <w:gridCol w:w="2001"/>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4.5 and 4.7</w:t>
            </w:r>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2.10, 4.1, 4.5 and 4.7</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2.10 and 4.5</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Electrical power testing is performed under the facility works, which install the uninterruptible power supply, generator support with automatic transfer, power distribution and grounding, and deliver the electrical system documentation. The Information System relies on that result, and thereafter monitors power and UPS status with threshold alerts. [GAP: Preliminary Project Plan Section 4.5 gives test 2 no week and no deliverable, and the test details (utility power, UPS, distribution, circuit load, automatic transfer switch, earthing, voltage and frequency measurements) and the Electrical Systems Test Report appear only in the facility works plan, which is not one of the four citable documents. Add the week, the bullets and the report to Preliminary Project Plan Section 4.5, or cross-reference the facility works test plan.]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2.10 and 4.5; System Architecture Sections 9.5 and 12.2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Environmental systems testing is performed under the facility works, which install air conditioning with humidity control, precision cooling, fire detection and clean agent suppression. Temperature, humidity and power readings then feed the System's monitoring and alerting, and environmental monitoring events feed security event management. [GAP: Preliminary Project Plan Section 4.5 gives test 3 no week and no deliverable, and the test details and the Environmental Systems Readiness Report are in the facility works plan, not in the four citable documents. Water leakage detection and airflow testing are not mentioned anywhere in the proposal. Confirm that leak sensors are in the facility works scope and add them to System Architecture Section 9.5 and the test to Preliminary Project Plan Section 4.5.]</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9.5, 10.7 and 12.2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2.7 and 4.5; System Architecture Section 9.2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 [CONFIRM: System Architecture Section 10.3 describes the System's own directory on three domain controllers, independent of NRB services, while the Responses to Queries 003 state that NRB will provide its existing Active Directory for integration. Confirm the directory product and how it integrates with NRB's Active Directory, and align the two statements.]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6.12, 10.3 and 10.7</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 [CONFIRM: Table A test 6 as amended by Addendum 2 still lists barcode encoding (if applicable) and print quality, but Preliminary Project Plan Section 4.5 lists only alignment, greyscale consistency and QR encoding. Confirm the symbology of the machine-readable card identifier, and add its encoding and print quality to test 6 in Preliminary Project Plan Section 4.5.]</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3.2, 3.6 and 4.4;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5.2, 5.3 and 5.5;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6.14 and 12.1</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7.12, 7.16 and 10.5</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7.3 and 7.12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3.6, 4.2 and 4.4</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3.6 and 6.8;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4.4 and 4.5; System Architecture Sections 9.3 and 12.3</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4.2 and 4.5; System Architecture Sections 2.2 and 7.11</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2.6 and 4.5; System Architecture Section 6.10</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09"/>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 [CONFIRM: The equipment manufacturer must confirm in writing 1,000 accepted cards per hour per line with the full personalization content (risk R3 in Preliminary Project Plan Section 2.9). The proposal does not yet state that throughput is measured on accepted finished cards, as the Responses to Queries 003 require: add it to Preliminary Project Plan Section 4.6 and System Architecture Section 3.5. The MS1000 datasheet rates the mailing line at up to 1,000 cards per hour, so the mailing rate is at the datasheet maximum.]</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3.5, 11.1 and 11.6</w:t>
            </w:r>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2.8, 4.6 and 4.7</w:t>
            </w:r>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Inkript assists the Purchaser in running the seventeen Table B tests in the live production environment in weeks 27 to 30, each measured by a method agreed with NRB in the operational acceptance test procedures issued in week 24. Their completion is the Operational Acceptance gate in week 30, from which post-Operational Acceptance technical assistance starts. [CONFIRM: Two points to settle. (1) The Responses to Queries 003 state that acceptance tests run against the NRIS test environment and test cards are not issued, while Preliminary Project Plan Section 2.6 and Preliminary Project Plan Section 4.6 plan operational acceptance on real NRIS records. Confirm with NRB which data the OAT uses. (2) Clause 4.3.1 ties warranty commencement to OAT completion, but Preliminary Project Plan Section 5.1 starts the warranty at Final Acceptance (SCC GCC 29.4); align the wording.]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2.6, 2.10, 4.6, 4.7 and 5.1</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7.11 and 7.14</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System Architecture Section 9.3, and no severity 1 failure. Clustered hosts, independent laser stations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3.4 and 9.3</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 [CONFIRM: Depends on the equipment manufacturer confirming 1,000 accepted cards per hour per line with the full personalization content (risk R3 in Preliminary Project Plan Section 2.9). The throughput basis in Preliminary Project Plan Section 4.6 says cards per hour, not accepted finished cards; align it with the Responses to Queries 003.]</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3.5, 5.6 and 11.1</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3.5, 11.2 and 11.6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4.5 and 6.8</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7.10, 7.11 and 7.12</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3.6, 4.4 and 6.8</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5.4 and 5.7</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7.14 and 10.6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4.4 and 4.6; System Architecture Sections 10.3 and 10.7</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 12.3</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6.11 and 12.2</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3.7, 3.8 and 4.6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 6.10</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6.11 and 7.13</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3.7 and 4.6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2.2, 2.7, 4.6 and 4.7</w:t>
            </w:r>
          </w:p>
        </w:tc>
      </w:tr>
    </w:tbl>
    <w:p>
      <w:pPr>
        <w:spacing w:after="140"/>
      </w:pPr>
    </w:p>
    <w:p>
      <w:r>
        <w:br w:type="page"/>
      </w:r>
    </w:p>
    <w:p>
      <w:r>
        <w:br w:type="page"/>
      </w:r>
    </w:p>
    <w:p>
      <w:pPr>
        <w:pStyle w:val="Heading1"/>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 [CONFIRM: The S8000 and MS1000 datasheets state a one-year standard manufacturer warranty (S8000 extendable by one year). Inkript must confirm back-to-back three-year manufacturer coverage through the support agreement and the Manufacturer's Authorization. Warranty start also needs aligning: Final Acceptance in the proposal and SCC GCC 29.4, Operational Acceptance in clause 4.3.1.]</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5.1 and 5.4; System Architecture Section 12.4;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5.1 and 5.2; System Architecture Section 12.4</w:t>
            </w:r>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 [CONFIRM: Preliminary Project Plan Section 5.2 says the manufacturer's Level 3 support agreement covers the warranty period only; confirm it extends to post-warranty maintenance. The MTBF target depends on the manufacturer's specified MTBF figures, which are not in the datasheets and must be obtained.]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12.4; Preliminary Project Plan Sections 5.2 and 5.3</w:t>
            </w:r>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5.1 and 5.6; System Architecture Section 12.4</w:t>
            </w:r>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 [CONFIRM: The proposal documents do not state the input quantities per role. Confirm that the System Inventory Tables for Recurrent Cost Items are completed at not less than the Purchaser's minimum quantities (in the Financial Part only, since no pricing may appear in the Technical Part).]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12.4; Preliminary Project Plan Section 5.2; Change Management Plan Section 5.3</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 and database. [CONFIRM: Preliminary Project Plan Section 3.8 leaves out the hardware and software integration experience the clause requires, and no document states that the role supports the personalization, mailing and dispatch system integrated with NRIS and the operational environment. The named candidate's CV and certificates must show the integration experience, the CCNA or CCNP and the manufacturer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System Architecture Section 12.4; Cybersecurity Risk Management Plan Section 9.3;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 [CONFIRM: The documents do not state the candidate's experience in encryption systems, covert and forensic security, and tactile and laser-Braille elements. The CV must evidence these, and copies of the ACE-M and PKI certificates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System Architecture Sections 4.2, 4.4 and 12.4;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 [GAP: The role is only named in System Architecture Section 12.4. No qualifications, experience, scope or candidate appear anywhere, and the role is missing from the table in Preliminary Project Plan Section 3.8. Add the role with its degree, seven years in critical infrastructure, and UPS, HVAC, generator, fire suppression and secure facility experience, and provide the CV (the same role is key personnel under clause 2.4.1.10).]</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12.4;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 [CONFIRM: The documents do not mention network redundancy experience or Fortinet or Palo Alto certification (an added advantage). The candidate's CV should show the first and state the second if held. Cybersecurity Risk Management Plan Section 9.3 engages the Network Engineer for design and weeks 15 to 23 only; align it with the post-Operational Acceptance technical team in System Architecture Section 12.4.]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System Architecture Section 9.2;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 [CONFIRM: The documents do not mention experience with access control systems, which the clause requires, or a PKI certification (added advantage). The CV must evidence access control systems experience, and certificate copies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9.3; Preliminary Project Plan Section 3.8; System Architecture Section 12.4;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2026-10-07T07:43:18.574Z</dcterms:created>
  <dcterms:modified xsi:type="dcterms:W3CDTF">2026-10-07T07:43:18.574Z</dcterms:modified>
</cp:coreProperties>
</file>

<file path=docProps/custom.xml><?xml version="1.0" encoding="utf-8"?>
<Properties xmlns="http://schemas.openxmlformats.org/officeDocument/2006/custom-properties" xmlns:vt="http://schemas.openxmlformats.org/officeDocument/2006/docPropsVTypes"/>
</file>