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4</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9</w:t>
            </w:r>
          </w:hyperlink>
        </w:p>
        <w:p>
          <w:pPr>
            <w:pStyle w:val="TOC2"/>
            <w:tabs>
              <w:tab w:val="clear" w:pos="8786"/>
              <w:tab w:val="right" w:pos="9025" w:leader="dot"/>
            </w:tabs>
          </w:pPr>
          <w:hyperlink w:history="1" w:anchor="sec_1_5">
            <w:r>
              <w:rPr>
                <w:rStyle w:val="IndexLink"/>
              </w:rPr>
              <w:t xml:space="default">1.5 Performance requirements</w:t>
              <w:tab/>
              <w:t xml:space="default">10</w:t>
            </w:r>
          </w:hyperlink>
        </w:p>
        <w:p>
          <w:pPr>
            <w:pStyle w:val="TOC2"/>
            <w:tabs>
              <w:tab w:val="clear" w:pos="8786"/>
              <w:tab w:val="right" w:pos="9025" w:leader="dot"/>
            </w:tabs>
          </w:pPr>
          <w:hyperlink w:history="1" w:anchor="sec_1_6">
            <w:r>
              <w:rPr>
                <w:rStyle w:val="IndexLink"/>
              </w:rPr>
              <w:t xml:space="default">1.6 Cyber security</w:t>
              <w:tab/>
              <w:t xml:space="default">13</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16</w:t>
            </w:r>
          </w:hyperlink>
        </w:p>
        <w:p>
          <w:pPr>
            <w:pStyle w:val="TOC2"/>
            <w:tabs>
              <w:tab w:val="clear" w:pos="8786"/>
              <w:tab w:val="right" w:pos="9025" w:leader="dot"/>
            </w:tabs>
          </w:pPr>
          <w:hyperlink w:history="1" w:anchor="sec_2_1">
            <w:r>
              <w:rPr>
                <w:rStyle w:val="IndexLink"/>
              </w:rPr>
              <w:t xml:space="default">2.1 System integration</w:t>
              <w:tab/>
              <w:t xml:space="default">16</w:t>
            </w:r>
          </w:hyperlink>
        </w:p>
        <w:p>
          <w:pPr>
            <w:pStyle w:val="TOC2"/>
            <w:tabs>
              <w:tab w:val="clear" w:pos="8786"/>
              <w:tab w:val="right" w:pos="9025" w:leader="dot"/>
            </w:tabs>
          </w:pPr>
          <w:hyperlink w:history="1" w:anchor="sec_2_2">
            <w:r>
              <w:rPr>
                <w:rStyle w:val="IndexLink"/>
              </w:rPr>
              <w:t xml:space="default">2.2 Training and training materials</w:t>
              <w:tab/>
              <w:t xml:space="default">20</w:t>
            </w:r>
          </w:hyperlink>
        </w:p>
        <w:p>
          <w:pPr>
            <w:pStyle w:val="TOC2"/>
            <w:tabs>
              <w:tab w:val="clear" w:pos="8786"/>
              <w:tab w:val="right" w:pos="9025" w:leader="dot"/>
            </w:tabs>
          </w:pPr>
          <w:hyperlink w:history="1" w:anchor="sec_2_3">
            <w:r>
              <w:rPr>
                <w:rStyle w:val="IndexLink"/>
              </w:rPr>
              <w:t xml:space="default">2.3 Documentation requirements</w:t>
              <w:tab/>
              <w:t xml:space="default">22</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25</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29</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29</w:t>
            </w:r>
          </w:hyperlink>
        </w:p>
        <w:p>
          <w:pPr>
            <w:pStyle w:val="TOC2"/>
            <w:tabs>
              <w:tab w:val="clear" w:pos="8786"/>
              <w:tab w:val="right" w:pos="9025" w:leader="dot"/>
            </w:tabs>
          </w:pPr>
          <w:hyperlink w:history="1" w:anchor="sec_3_2">
            <w:r>
              <w:rPr>
                <w:rStyle w:val="IndexLink"/>
              </w:rPr>
              <w:t xml:space="default">3.2 Personalization laser features</w:t>
              <w:tab/>
              <w:t xml:space="default">31</w:t>
            </w:r>
          </w:hyperlink>
        </w:p>
        <w:p>
          <w:pPr>
            <w:pStyle w:val="TOC2"/>
            <w:tabs>
              <w:tab w:val="clear" w:pos="8786"/>
              <w:tab w:val="right" w:pos="9025" w:leader="dot"/>
            </w:tabs>
          </w:pPr>
          <w:hyperlink w:history="1" w:anchor="sec_3_3">
            <w:r>
              <w:rPr>
                <w:rStyle w:val="IndexLink"/>
              </w:rPr>
              <w:t xml:space="default">3.3 Automated mailing and dispatch systems</w:t>
              <w:tab/>
              <w:t xml:space="default">33</w:t>
            </w:r>
          </w:hyperlink>
        </w:p>
        <w:p>
          <w:pPr>
            <w:pStyle w:val="TOC2"/>
            <w:tabs>
              <w:tab w:val="clear" w:pos="8786"/>
              <w:tab w:val="right" w:pos="9025" w:leader="dot"/>
            </w:tabs>
          </w:pPr>
          <w:hyperlink w:history="1" w:anchor="sec_3_4">
            <w:r>
              <w:rPr>
                <w:rStyle w:val="IndexLink"/>
              </w:rPr>
              <w:t xml:space="default">3.4 Polycarbonate cards</w:t>
              <w:tab/>
              <w:t xml:space="default">35</w:t>
            </w:r>
          </w:hyperlink>
        </w:p>
        <w:p>
          <w:pPr>
            <w:pStyle w:val="TOC2"/>
            <w:tabs>
              <w:tab w:val="clear" w:pos="8786"/>
              <w:tab w:val="right" w:pos="9025" w:leader="dot"/>
            </w:tabs>
          </w:pPr>
          <w:hyperlink w:history="1" w:anchor="sec_3_5">
            <w:r>
              <w:rPr>
                <w:rStyle w:val="IndexLink"/>
              </w:rPr>
              <w:t xml:space="default">3.5 Renovation of premises</w:t>
              <w:tab/>
              <w:t xml:space="default">36</w:t>
            </w:r>
          </w:hyperlink>
        </w:p>
        <w:p>
          <w:pPr>
            <w:pStyle w:val="TOC1"/>
            <w:tabs>
              <w:tab w:val="clear" w:pos="9026"/>
              <w:tab w:val="right" w:pos="9025" w:leader="dot"/>
            </w:tabs>
          </w:pPr>
          <w:hyperlink w:history="1" w:anchor="sec_4">
            <w:r>
              <w:rPr>
                <w:rStyle w:val="IndexLink"/>
              </w:rPr>
              <w:t xml:space="default">4. Testing and Quality Assurance Requirements</w:t>
              <w:tab/>
              <w:t xml:space="default">39</w:t>
            </w:r>
          </w:hyperlink>
        </w:p>
        <w:p>
          <w:pPr>
            <w:pStyle w:val="TOC2"/>
            <w:tabs>
              <w:tab w:val="clear" w:pos="8786"/>
              <w:tab w:val="right" w:pos="9025" w:leader="dot"/>
            </w:tabs>
          </w:pPr>
          <w:hyperlink w:history="1" w:anchor="sec_4_1">
            <w:r>
              <w:rPr>
                <w:rStyle w:val="IndexLink"/>
              </w:rPr>
              <w:t xml:space="default">4.1 Inspections</w:t>
              <w:tab/>
              <w:t xml:space="default">39</w:t>
            </w:r>
          </w:hyperlink>
        </w:p>
        <w:p>
          <w:pPr>
            <w:pStyle w:val="TOC2"/>
            <w:tabs>
              <w:tab w:val="clear" w:pos="8786"/>
              <w:tab w:val="right" w:pos="9025" w:leader="dot"/>
            </w:tabs>
          </w:pPr>
          <w:hyperlink w:history="1" w:anchor="sec_4_2">
            <w:r>
              <w:rPr>
                <w:rStyle w:val="IndexLink"/>
              </w:rPr>
              <w:t xml:space="default">4.2 Pre-commissioning tests</w:t>
              <w:tab/>
              <w:t xml:space="default">39</w:t>
            </w:r>
          </w:hyperlink>
        </w:p>
        <w:p>
          <w:pPr>
            <w:pStyle w:val="TOC2"/>
            <w:tabs>
              <w:tab w:val="clear" w:pos="8786"/>
              <w:tab w:val="right" w:pos="9025" w:leader="dot"/>
            </w:tabs>
          </w:pPr>
          <w:hyperlink w:history="1" w:anchor="sec_4_3">
            <w:r>
              <w:rPr>
                <w:rStyle w:val="IndexLink"/>
              </w:rPr>
              <w:t xml:space="default">4.3 Operational acceptance tests</w:t>
              <w:tab/>
              <w:t xml:space="default">42</w:t>
            </w:r>
          </w:hyperlink>
        </w:p>
        <w:p>
          <w:pPr>
            <w:pStyle w:val="TOC1"/>
            <w:tabs>
              <w:tab w:val="clear" w:pos="9026"/>
              <w:tab w:val="right" w:pos="9025" w:leader="dot"/>
            </w:tabs>
          </w:pPr>
          <w:hyperlink w:history="1" w:anchor="sec_5">
            <w:r>
              <w:rPr>
                <w:rStyle w:val="IndexLink"/>
              </w:rPr>
              <w:t xml:space="default">5. Service Specifications, Recurrent Cost Items</w:t>
              <w:tab/>
              <w:t xml:space="default">46</w:t>
            </w:r>
          </w:hyperlink>
        </w:p>
        <w:p>
          <w:pPr>
            <w:pStyle w:val="TOC2"/>
            <w:tabs>
              <w:tab w:val="clear" w:pos="8786"/>
              <w:tab w:val="right" w:pos="9025" w:leader="dot"/>
            </w:tabs>
          </w:pPr>
          <w:hyperlink w:history="1" w:anchor="sec_5_1">
            <w:r>
              <w:rPr>
                <w:rStyle w:val="IndexLink"/>
              </w:rPr>
              <w:t xml:space="default">5.1 Warranty defect repair</w:t>
              <w:tab/>
              <w:t xml:space="default">46</w:t>
            </w:r>
          </w:hyperlink>
        </w:p>
        <w:p>
          <w:pPr>
            <w:pStyle w:val="TOC2"/>
            <w:tabs>
              <w:tab w:val="clear" w:pos="8786"/>
              <w:tab w:val="right" w:pos="9025" w:leader="dot"/>
            </w:tabs>
          </w:pPr>
          <w:hyperlink w:history="1" w:anchor="sec_5_2">
            <w:r>
              <w:rPr>
                <w:rStyle w:val="IndexLink"/>
              </w:rPr>
              <w:t xml:space="default">5.2 Technical support</w:t>
              <w:tab/>
              <w:t xml:space="default">46</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46</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3"/>
        <w:gridCol w:w="4977"/>
        <w:gridCol w:w="2000"/>
      </w:tblGrid>
      <w:tr>
        <w:trPr>
          <w:tblHeader/>
        </w:trPr>
        <w:tc>
          <w:tcPr>
            <w:tcW w:type="dxa" w:w="2043"/>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7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43"/>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43"/>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43"/>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43"/>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43"/>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43"/>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43"/>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3"/>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43"/>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43"/>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43"/>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43"/>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3"/>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43"/>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43"/>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43"/>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43"/>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43"/>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4977"/>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043"/>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43"/>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4977"/>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the Responses to Queries 04 and the Clarifications to Queries 005. Signature formats align with eIDAS digital signature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1"/>
        <w:gridCol w:w="1999"/>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the Clarifications to Queries 005, NRB developers build the NRIS side and the Purchaser provides its API.</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the Clarifications to Queries 005, the main route is the NRIS API the Purchaser provides.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the Clarifications to Queries 005, the secondary environment is provisioned at the existing NRB disaster recovery site in Blantyre.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the Clarifications to Queries 005, Inkript engages the postal operator and connects the System to its tracking service.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1"/>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1"/>
        <w:gridCol w:w="4859"/>
        <w:gridCol w:w="2000"/>
      </w:tblGrid>
      <w:tr>
        <w:trPr>
          <w:tblHeader/>
        </w:trPr>
        <w:tc>
          <w:tcPr>
            <w:tcW w:type="dxa" w:w="216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5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61"/>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4827"/>
        <w:gridCol w:w="2000"/>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27"/>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93"/>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93"/>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93"/>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93"/>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193"/>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193"/>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193"/>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193"/>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93"/>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93"/>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193"/>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827"/>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93"/>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827"/>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and the card manufacturer's ISO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Inkript ISO/IEC 27001 and ISO 9001 certificates;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74"/>
        <w:gridCol w:w="5146"/>
        <w:gridCol w:w="2000"/>
      </w:tblGrid>
      <w:tr>
        <w:trPr>
          <w:tblHeader/>
        </w:trPr>
        <w:tc>
          <w:tcPr>
            <w:tcW w:type="dxa" w:w="187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46"/>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74"/>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874"/>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74"/>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51"/>
        <w:gridCol w:w="2769"/>
        <w:gridCol w:w="2000"/>
      </w:tblGrid>
      <w:tr>
        <w:trPr>
          <w:tblHeader/>
        </w:trPr>
        <w:tc>
          <w:tcPr>
            <w:tcW w:type="dxa" w:w="42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4251"/>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4251"/>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4251"/>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4251"/>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2769"/>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4251"/>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4251"/>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2769"/>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
            </w:r>
          </w:p>
        </w:tc>
        <w:tc>
          <w:tcPr>
            <w:tcW w:type="dxa" w:w="2000"/>
            <w:tcMar>
              <w:top w:type="dxa" w:w="60"/>
              <w:left w:type="dxa" w:w="100"/>
              <w:bottom w:type="dxa" w:w="60"/>
              <w:right w:type="dxa" w:w="100"/>
            </w:tcMar>
          </w:tcPr>
          <w:p>
            <w:pPr>
              <w:spacing w:after="0" w:before="0"/>
            </w:pPr>
            <w:r>
              <w:rPr>
                <w:b w:val="false"/>
                <w:bCs w:val="false"/>
                <w:i w:val="false"/>
                <w:iCs w:val="false"/>
              </w:rPr>
              <w:t xml:space="preserve"/>
            </w:r>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0"/>
        <w:gridCol w:w="2000"/>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weeks 27 to 30, against the NRIS test environment as the Responses to Queries 003 require, so that no card produced in testing is issued to a citizen. Each is measured by a method agreed with NRB in the operational acceptance test procedures issued in week 24. Their completion is the Operational Acceptance gate in week 30, from which post-Operational Acceptance technical assistance starts.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0"/>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1"/>
        <w:gridCol w:w="1999"/>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w:t>
            </w:r>
          </w:p>
        </w:tc>
        <w:tc>
          <w:tcPr>
            <w:tcW w:type="dxa" w:w="1999"/>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1"/>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w:t>
            </w:r>
          </w:p>
        </w:tc>
        <w:tc>
          <w:tcPr>
            <w:tcW w:type="dxa" w:w="1999"/>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2026-10-07T14:28:05.955Z</dcterms:created>
  <dcterms:modified xsi:type="dcterms:W3CDTF">2026-10-07T14:28:05.955Z</dcterms:modified>
</cp:coreProperties>
</file>

<file path=docProps/custom.xml><?xml version="1.0" encoding="utf-8"?>
<Properties xmlns="http://schemas.openxmlformats.org/officeDocument/2006/custom-properties" xmlns:vt="http://schemas.openxmlformats.org/officeDocument/2006/docPropsVTypes"/>
</file>