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Introduction</w:t>
              <w:tab/>
              <w:t xml:space="default">4</w:t>
            </w:r>
          </w:hyperlink>
        </w:p>
        <w:p>
          <w:pPr>
            <w:pStyle w:val="TOC2"/>
            <w:tabs>
              <w:tab w:val="clear" w:pos="8786"/>
              <w:tab w:val="right" w:pos="9025" w:leader="dot"/>
            </w:tabs>
          </w:pPr>
          <w:hyperlink w:history="1" w:anchor="sec_1_1">
            <w:r>
              <w:rPr>
                <w:rStyle w:val="IndexLink"/>
              </w:rPr>
              <w:t xml:space="default">1.1 Scope of supply</w:t>
              <w:tab/>
              <w:t xml:space="default">4</w:t>
            </w:r>
          </w:hyperlink>
        </w:p>
        <w:p>
          <w:pPr>
            <w:pStyle w:val="TOC2"/>
            <w:tabs>
              <w:tab w:val="clear" w:pos="8786"/>
              <w:tab w:val="right" w:pos="9025" w:leader="dot"/>
            </w:tabs>
          </w:pPr>
          <w:hyperlink w:history="1" w:anchor="sec_1_2">
            <w:r>
              <w:rPr>
                <w:rStyle w:val="IndexLink"/>
              </w:rPr>
              <w:t xml:space="default">1.2 Integration and interoperability responsibility</w:t>
              <w:tab/>
              <w:t xml:space="default">4</w:t>
            </w:r>
          </w:hyperlink>
        </w:p>
        <w:p>
          <w:pPr>
            <w:pStyle w:val="TOC1"/>
            <w:tabs>
              <w:tab w:val="clear" w:pos="9026"/>
              <w:tab w:val="right" w:pos="9025" w:leader="dot"/>
            </w:tabs>
          </w:pPr>
          <w:hyperlink w:history="1" w:anchor="sec_2">
            <w:r>
              <w:rPr>
                <w:rStyle w:val="IndexLink"/>
              </w:rPr>
              <w:t xml:space="default">2. Solution Overview</w:t>
              <w:tab/>
              <w:t xml:space="default">6</w:t>
            </w:r>
          </w:hyperlink>
        </w:p>
        <w:p>
          <w:pPr>
            <w:pStyle w:val="TOC2"/>
            <w:tabs>
              <w:tab w:val="clear" w:pos="8786"/>
              <w:tab w:val="right" w:pos="9025" w:leader="dot"/>
            </w:tabs>
          </w:pPr>
          <w:hyperlink w:history="1" w:anchor="sec_2_1">
            <w:r>
              <w:rPr>
                <w:rStyle w:val="IndexLink"/>
              </w:rPr>
              <w:t xml:space="default">2.1 Architecture overview</w:t>
              <w:tab/>
              <w:t xml:space="default">6</w:t>
            </w:r>
          </w:hyperlink>
        </w:p>
        <w:p>
          <w:pPr>
            <w:pStyle w:val="TOC2"/>
            <w:tabs>
              <w:tab w:val="clear" w:pos="8786"/>
              <w:tab w:val="right" w:pos="9025" w:leader="dot"/>
            </w:tabs>
          </w:pPr>
          <w:hyperlink w:history="1" w:anchor="sec_2_2">
            <w:r>
              <w:rPr>
                <w:rStyle w:val="IndexLink"/>
              </w:rPr>
              <w:t xml:space="default">2.2 End-to-end process flow</w:t>
              <w:tab/>
              <w:t xml:space="default">7</w:t>
            </w:r>
          </w:hyperlink>
        </w:p>
        <w:p>
          <w:pPr>
            <w:pStyle w:val="TOC2"/>
            <w:tabs>
              <w:tab w:val="clear" w:pos="8786"/>
              <w:tab w:val="right" w:pos="9025" w:leader="dot"/>
            </w:tabs>
          </w:pPr>
          <w:hyperlink w:history="1" w:anchor="sec_2_3">
            <w:r>
              <w:rPr>
                <w:rStyle w:val="IndexLink"/>
              </w:rPr>
              <w:t xml:space="default">2.3 Card issuance lifecycle</w:t>
              <w:tab/>
              <w:t xml:space="default">9</w:t>
            </w:r>
          </w:hyperlink>
        </w:p>
        <w:p>
          <w:pPr>
            <w:pStyle w:val="TOC1"/>
            <w:tabs>
              <w:tab w:val="clear" w:pos="9026"/>
              <w:tab w:val="right" w:pos="9025" w:leader="dot"/>
            </w:tabs>
          </w:pPr>
          <w:hyperlink w:history="1" w:anchor="sec_3">
            <w:r>
              <w:rPr>
                <w:rStyle w:val="IndexLink"/>
              </w:rPr>
              <w:t xml:space="default">3. Card Personalization System</w:t>
              <w:tab/>
              <w:t xml:space="default">11</w:t>
            </w:r>
          </w:hyperlink>
        </w:p>
        <w:p>
          <w:pPr>
            <w:pStyle w:val="TOC2"/>
            <w:tabs>
              <w:tab w:val="clear" w:pos="8786"/>
              <w:tab w:val="right" w:pos="9025" w:leader="dot"/>
            </w:tabs>
          </w:pPr>
          <w:hyperlink w:history="1" w:anchor="sec_3_1">
            <w:r>
              <w:rPr>
                <w:rStyle w:val="IndexLink"/>
              </w:rPr>
              <w:t xml:space="default">3.1 Configuration and modular design</w:t>
              <w:tab/>
              <w:t xml:space="default">11</w:t>
            </w:r>
          </w:hyperlink>
        </w:p>
        <w:p>
          <w:pPr>
            <w:pStyle w:val="TOC2"/>
            <w:tabs>
              <w:tab w:val="clear" w:pos="8786"/>
              <w:tab w:val="right" w:pos="9025" w:leader="dot"/>
            </w:tabs>
          </w:pPr>
          <w:hyperlink w:history="1" w:anchor="sec_3_2">
            <w:r>
              <w:rPr>
                <w:rStyle w:val="IndexLink"/>
              </w:rPr>
              <w:t xml:space="default">3.2 Laser marking capability</w:t>
              <w:tab/>
              <w:t xml:space="default">11</w:t>
            </w:r>
          </w:hyperlink>
        </w:p>
        <w:p>
          <w:pPr>
            <w:pStyle w:val="TOC2"/>
            <w:tabs>
              <w:tab w:val="clear" w:pos="8786"/>
              <w:tab w:val="right" w:pos="9025" w:leader="dot"/>
            </w:tabs>
          </w:pPr>
          <w:hyperlink w:history="1" w:anchor="sec_3_3">
            <w:r>
              <w:rPr>
                <w:rStyle w:val="IndexLink"/>
              </w:rPr>
              <w:t xml:space="default">3.3 Marking resolution</w:t>
              <w:tab/>
              <w:t xml:space="default">12</w:t>
            </w:r>
          </w:hyperlink>
        </w:p>
        <w:p>
          <w:pPr>
            <w:pStyle w:val="TOC2"/>
            <w:tabs>
              <w:tab w:val="clear" w:pos="8786"/>
              <w:tab w:val="right" w:pos="9025" w:leader="dot"/>
            </w:tabs>
          </w:pPr>
          <w:hyperlink w:history="1" w:anchor="sec_3_4">
            <w:r>
              <w:rPr>
                <w:rStyle w:val="IndexLink"/>
              </w:rPr>
              <w:t xml:space="default">3.4 Laser station configuration</w:t>
              <w:tab/>
              <w:t xml:space="default">13</w:t>
            </w:r>
          </w:hyperlink>
        </w:p>
        <w:p>
          <w:pPr>
            <w:pStyle w:val="TOC2"/>
            <w:tabs>
              <w:tab w:val="clear" w:pos="8786"/>
              <w:tab w:val="right" w:pos="9025" w:leader="dot"/>
            </w:tabs>
          </w:pPr>
          <w:hyperlink w:history="1" w:anchor="sec_3_5">
            <w:r>
              <w:rPr>
                <w:rStyle w:val="IndexLink"/>
              </w:rPr>
              <w:t xml:space="default">3.5 Throughput and duplex performance</w:t>
              <w:tab/>
              <w:t xml:space="default">13</w:t>
            </w:r>
          </w:hyperlink>
        </w:p>
        <w:p>
          <w:pPr>
            <w:pStyle w:val="TOC2"/>
            <w:tabs>
              <w:tab w:val="clear" w:pos="8786"/>
              <w:tab w:val="right" w:pos="9025" w:leader="dot"/>
            </w:tabs>
          </w:pPr>
          <w:hyperlink w:history="1" w:anchor="sec_3_6">
            <w:r>
              <w:rPr>
                <w:rStyle w:val="IndexLink"/>
              </w:rPr>
              <w:t xml:space="default">3.6 Card recognition, alignment and in-line verification</w:t>
              <w:tab/>
              <w:t xml:space="default">14</w:t>
            </w:r>
          </w:hyperlink>
        </w:p>
        <w:p>
          <w:pPr>
            <w:pStyle w:val="TOC2"/>
            <w:tabs>
              <w:tab w:val="clear" w:pos="8786"/>
              <w:tab w:val="right" w:pos="9025" w:leader="dot"/>
            </w:tabs>
          </w:pPr>
          <w:hyperlink w:history="1" w:anchor="sec_3_7">
            <w:r>
              <w:rPr>
                <w:rStyle w:val="IndexLink"/>
              </w:rPr>
              <w:t xml:space="default">3.7 Reject detection and in-job reproduction</w:t>
              <w:tab/>
              <w:t xml:space="default">14</w:t>
            </w:r>
          </w:hyperlink>
        </w:p>
        <w:p>
          <w:pPr>
            <w:pStyle w:val="TOC2"/>
            <w:tabs>
              <w:tab w:val="clear" w:pos="8786"/>
              <w:tab w:val="right" w:pos="9025" w:leader="dot"/>
            </w:tabs>
          </w:pPr>
          <w:hyperlink w:history="1" w:anchor="sec_3_8">
            <w:r>
              <w:rPr>
                <w:rStyle w:val="IndexLink"/>
              </w:rPr>
              <w:t xml:space="default">3.8 Laser calibration and audit logging</w:t>
              <w:tab/>
              <w:t xml:space="default">14</w:t>
            </w:r>
          </w:hyperlink>
        </w:p>
        <w:p>
          <w:pPr>
            <w:pStyle w:val="TOC2"/>
            <w:tabs>
              <w:tab w:val="clear" w:pos="8786"/>
              <w:tab w:val="right" w:pos="9025" w:leader="dot"/>
            </w:tabs>
          </w:pPr>
          <w:hyperlink w:history="1" w:anchor="sec_3_9">
            <w:r>
              <w:rPr>
                <w:rStyle w:val="IndexLink"/>
              </w:rPr>
              <w:t xml:space="default">3.9 Machine software, job and batch reporting</w:t>
              <w:tab/>
              <w:t xml:space="default">15</w:t>
            </w:r>
          </w:hyperlink>
        </w:p>
        <w:p>
          <w:pPr>
            <w:pStyle w:val="TOC1"/>
            <w:tabs>
              <w:tab w:val="clear" w:pos="9026"/>
              <w:tab w:val="right" w:pos="9025" w:leader="dot"/>
            </w:tabs>
          </w:pPr>
          <w:hyperlink w:history="1" w:anchor="sec_4">
            <w:r>
              <w:rPr>
                <w:rStyle w:val="IndexLink"/>
              </w:rPr>
              <w:t xml:space="default">4. Polycarbonate Card</w:t>
              <w:tab/>
              <w:t xml:space="default">16</w:t>
            </w:r>
          </w:hyperlink>
        </w:p>
        <w:p>
          <w:pPr>
            <w:pStyle w:val="TOC2"/>
            <w:tabs>
              <w:tab w:val="clear" w:pos="8786"/>
              <w:tab w:val="right" w:pos="9025" w:leader="dot"/>
            </w:tabs>
          </w:pPr>
          <w:hyperlink w:history="1" w:anchor="sec_4_1">
            <w:r>
              <w:rPr>
                <w:rStyle w:val="IndexLink"/>
              </w:rPr>
              <w:t xml:space="default">4.1 Construction and durability</w:t>
              <w:tab/>
              <w:t xml:space="default">16</w:t>
            </w:r>
          </w:hyperlink>
        </w:p>
        <w:p>
          <w:pPr>
            <w:pStyle w:val="TOC2"/>
            <w:tabs>
              <w:tab w:val="clear" w:pos="8786"/>
              <w:tab w:val="right" w:pos="9025" w:leader="dot"/>
            </w:tabs>
          </w:pPr>
          <w:hyperlink w:history="1" w:anchor="sec_4_2">
            <w:r>
              <w:rPr>
                <w:rStyle w:val="IndexLink"/>
              </w:rPr>
              <w:t xml:space="default">4.2 Card body security features, front</w:t>
              <w:tab/>
              <w:t xml:space="default">16</w:t>
            </w:r>
          </w:hyperlink>
        </w:p>
        <w:p>
          <w:pPr>
            <w:pStyle w:val="TOC2"/>
            <w:tabs>
              <w:tab w:val="clear" w:pos="8786"/>
              <w:tab w:val="right" w:pos="9025" w:leader="dot"/>
            </w:tabs>
          </w:pPr>
          <w:hyperlink w:history="1" w:anchor="sec_4_3">
            <w:r>
              <w:rPr>
                <w:rStyle w:val="IndexLink"/>
              </w:rPr>
              <w:t xml:space="default">4.3 Card body security features, back</w:t>
              <w:tab/>
              <w:t xml:space="default">17</w:t>
            </w:r>
          </w:hyperlink>
        </w:p>
        <w:p>
          <w:pPr>
            <w:pStyle w:val="TOC2"/>
            <w:tabs>
              <w:tab w:val="clear" w:pos="8786"/>
              <w:tab w:val="right" w:pos="9025" w:leader="dot"/>
            </w:tabs>
          </w:pPr>
          <w:hyperlink w:history="1" w:anchor="sec_4_4">
            <w:r>
              <w:rPr>
                <w:rStyle w:val="IndexLink"/>
              </w:rPr>
              <w:t xml:space="default">4.4 Personalization security features</w:t>
              <w:tab/>
              <w:t xml:space="default">17</w:t>
            </w:r>
          </w:hyperlink>
        </w:p>
        <w:p>
          <w:pPr>
            <w:pStyle w:val="TOC2"/>
            <w:tabs>
              <w:tab w:val="clear" w:pos="8786"/>
              <w:tab w:val="right" w:pos="9025" w:leader="dot"/>
            </w:tabs>
          </w:pPr>
          <w:hyperlink w:history="1" w:anchor="sec_4_5">
            <w:r>
              <w:rPr>
                <w:rStyle w:val="IndexLink"/>
              </w:rPr>
              <w:t xml:space="default">4.5 Digitally signed biometric QR code</w:t>
              <w:tab/>
              <w:t xml:space="default">18</w:t>
            </w:r>
          </w:hyperlink>
        </w:p>
        <w:p>
          <w:pPr>
            <w:pStyle w:val="TOC2"/>
            <w:tabs>
              <w:tab w:val="clear" w:pos="8786"/>
              <w:tab w:val="right" w:pos="9025" w:leader="dot"/>
            </w:tabs>
          </w:pPr>
          <w:hyperlink w:history="1" w:anchor="sec_4_6">
            <w:r>
              <w:rPr>
                <w:rStyle w:val="IndexLink"/>
              </w:rPr>
              <w:t xml:space="default">4.6 Standards compliance and laboratory testing</w:t>
              <w:tab/>
              <w:t xml:space="default">18</w:t>
            </w:r>
          </w:hyperlink>
        </w:p>
        <w:p>
          <w:pPr>
            <w:pStyle w:val="TOC2"/>
            <w:tabs>
              <w:tab w:val="clear" w:pos="8786"/>
              <w:tab w:val="right" w:pos="9025" w:leader="dot"/>
            </w:tabs>
          </w:pPr>
          <w:hyperlink w:history="1" w:anchor="sec_4_7">
            <w:r>
              <w:rPr>
                <w:rStyle w:val="IndexLink"/>
              </w:rPr>
              <w:t xml:space="default">4.7 Card samples</w:t>
              <w:tab/>
              <w:t xml:space="default">19</w:t>
            </w:r>
          </w:hyperlink>
        </w:p>
        <w:p>
          <w:pPr>
            <w:pStyle w:val="TOC1"/>
            <w:tabs>
              <w:tab w:val="clear" w:pos="9026"/>
              <w:tab w:val="right" w:pos="9025" w:leader="dot"/>
            </w:tabs>
          </w:pPr>
          <w:hyperlink w:history="1" w:anchor="sec_5">
            <w:r>
              <w:rPr>
                <w:rStyle w:val="IndexLink"/>
              </w:rPr>
              <w:t xml:space="default">5. Mailing and Dispatch System</w:t>
              <w:tab/>
              <w:t xml:space="default">20</w:t>
            </w:r>
          </w:hyperlink>
        </w:p>
        <w:p>
          <w:pPr>
            <w:pStyle w:val="TOC2"/>
            <w:tabs>
              <w:tab w:val="clear" w:pos="8786"/>
              <w:tab w:val="right" w:pos="9025" w:leader="dot"/>
            </w:tabs>
          </w:pPr>
          <w:hyperlink w:history="1" w:anchor="sec_5_1">
            <w:r>
              <w:rPr>
                <w:rStyle w:val="IndexLink"/>
              </w:rPr>
              <w:t xml:space="default">5.1 Configuration</w:t>
              <w:tab/>
              <w:t xml:space="default">20</w:t>
            </w:r>
          </w:hyperlink>
        </w:p>
        <w:p>
          <w:pPr>
            <w:pStyle w:val="TOC2"/>
            <w:tabs>
              <w:tab w:val="clear" w:pos="8786"/>
              <w:tab w:val="right" w:pos="9025" w:leader="dot"/>
            </w:tabs>
          </w:pPr>
          <w:hyperlink w:history="1" w:anchor="sec_5_2">
            <w:r>
              <w:rPr>
                <w:rStyle w:val="IndexLink"/>
              </w:rPr>
              <w:t xml:space="default">5.2 Carrier letter printing and card affixing</w:t>
              <w:tab/>
              <w:t xml:space="default">21</w:t>
            </w:r>
          </w:hyperlink>
        </w:p>
        <w:p>
          <w:pPr>
            <w:pStyle w:val="TOC2"/>
            <w:tabs>
              <w:tab w:val="clear" w:pos="8786"/>
              <w:tab w:val="right" w:pos="9025" w:leader="dot"/>
            </w:tabs>
          </w:pPr>
          <w:hyperlink w:history="1" w:anchor="sec_5_3">
            <w:r>
              <w:rPr>
                <w:rStyle w:val="IndexLink"/>
              </w:rPr>
              <w:t xml:space="default">5.3 Envelope insertion, sealing and address printing</w:t>
              <w:tab/>
              <w:t xml:space="default">21</w:t>
            </w:r>
          </w:hyperlink>
        </w:p>
        <w:p>
          <w:pPr>
            <w:pStyle w:val="TOC2"/>
            <w:tabs>
              <w:tab w:val="clear" w:pos="8786"/>
              <w:tab w:val="right" w:pos="9025" w:leader="dot"/>
            </w:tabs>
          </w:pPr>
          <w:hyperlink w:history="1" w:anchor="sec_5_4">
            <w:r>
              <w:rPr>
                <w:rStyle w:val="IndexLink"/>
              </w:rPr>
              <w:t xml:space="default">5.4 Verification and card-to-recipient matching</w:t>
              <w:tab/>
              <w:t xml:space="default">21</w:t>
            </w:r>
          </w:hyperlink>
        </w:p>
        <w:p>
          <w:pPr>
            <w:pStyle w:val="TOC2"/>
            <w:tabs>
              <w:tab w:val="clear" w:pos="8786"/>
              <w:tab w:val="right" w:pos="9025" w:leader="dot"/>
            </w:tabs>
          </w:pPr>
          <w:hyperlink w:history="1" w:anchor="sec_5_5">
            <w:r>
              <w:rPr>
                <w:rStyle w:val="IndexLink"/>
              </w:rPr>
              <w:t xml:space="default">5.5 Sorting, reject magazines and buffer modules</w:t>
              <w:tab/>
              <w:t xml:space="default">22</w:t>
            </w:r>
          </w:hyperlink>
        </w:p>
        <w:p>
          <w:pPr>
            <w:pStyle w:val="TOC2"/>
            <w:tabs>
              <w:tab w:val="clear" w:pos="8786"/>
              <w:tab w:val="right" w:pos="9025" w:leader="dot"/>
            </w:tabs>
          </w:pPr>
          <w:hyperlink w:history="1" w:anchor="sec_5_6">
            <w:r>
              <w:rPr>
                <w:rStyle w:val="IndexLink"/>
              </w:rPr>
              <w:t xml:space="default">5.6 Throughput and capacity</w:t>
              <w:tab/>
              <w:t xml:space="default">22</w:t>
            </w:r>
          </w:hyperlink>
        </w:p>
        <w:p>
          <w:pPr>
            <w:pStyle w:val="TOC2"/>
            <w:tabs>
              <w:tab w:val="clear" w:pos="8786"/>
              <w:tab w:val="right" w:pos="9025" w:leader="dot"/>
            </w:tabs>
          </w:pPr>
          <w:hyperlink w:history="1" w:anchor="sec_5_7">
            <w:r>
              <w:rPr>
                <w:rStyle w:val="IndexLink"/>
              </w:rPr>
              <w:t xml:space="default">5.7 Job data and dispatch records</w:t>
              <w:tab/>
              <w:t xml:space="default">22</w:t>
            </w:r>
          </w:hyperlink>
        </w:p>
        <w:p>
          <w:pPr>
            <w:pStyle w:val="TOC1"/>
            <w:tabs>
              <w:tab w:val="clear" w:pos="9026"/>
              <w:tab w:val="right" w:pos="9025" w:leader="dot"/>
            </w:tabs>
          </w:pPr>
          <w:hyperlink w:history="1" w:anchor="sec_6">
            <w:r>
              <w:rPr>
                <w:rStyle w:val="IndexLink"/>
              </w:rPr>
              <w:t xml:space="default">6. Application Software</w:t>
              <w:tab/>
              <w:t xml:space="default">24</w:t>
            </w:r>
          </w:hyperlink>
        </w:p>
        <w:p>
          <w:pPr>
            <w:pStyle w:val="TOC2"/>
            <w:tabs>
              <w:tab w:val="clear" w:pos="8786"/>
              <w:tab w:val="right" w:pos="9025" w:leader="dot"/>
            </w:tabs>
          </w:pPr>
          <w:hyperlink w:history="1" w:anchor="sec_6_1">
            <w:r>
              <w:rPr>
                <w:rStyle w:val="IndexLink"/>
              </w:rPr>
              <w:t xml:space="default">6.1 Software architecture</w:t>
              <w:tab/>
              <w:t xml:space="default">24</w:t>
            </w:r>
          </w:hyperlink>
        </w:p>
        <w:p>
          <w:pPr>
            <w:pStyle w:val="TOC2"/>
            <w:tabs>
              <w:tab w:val="clear" w:pos="8786"/>
              <w:tab w:val="right" w:pos="9025" w:leader="dot"/>
            </w:tabs>
          </w:pPr>
          <w:hyperlink w:history="1" w:anchor="sec_6_2">
            <w:r>
              <w:rPr>
                <w:rStyle w:val="IndexLink"/>
              </w:rPr>
              <w:t xml:space="default">6.2 Card Personalization Management System</w:t>
              <w:tab/>
              <w:t xml:space="default">25</w:t>
            </w:r>
          </w:hyperlink>
        </w:p>
        <w:p>
          <w:pPr>
            <w:pStyle w:val="TOC2"/>
            <w:tabs>
              <w:tab w:val="clear" w:pos="8786"/>
              <w:tab w:val="right" w:pos="9025" w:leader="dot"/>
            </w:tabs>
          </w:pPr>
          <w:hyperlink w:history="1" w:anchor="sec_6_3">
            <w:r>
              <w:rPr>
                <w:rStyle w:val="IndexLink"/>
              </w:rPr>
              <w:t xml:space="default">6.3 Card Layout Template Editor</w:t>
              <w:tab/>
              <w:t xml:space="default">26</w:t>
            </w:r>
          </w:hyperlink>
        </w:p>
        <w:p>
          <w:pPr>
            <w:pStyle w:val="TOC2"/>
            <w:tabs>
              <w:tab w:val="clear" w:pos="8786"/>
              <w:tab w:val="right" w:pos="9025" w:leader="dot"/>
            </w:tabs>
          </w:pPr>
          <w:hyperlink w:history="1" w:anchor="sec_6_4">
            <w:r>
              <w:rPr>
                <w:rStyle w:val="IndexLink"/>
              </w:rPr>
              <w:t xml:space="default">6.4 Data Preparation Service</w:t>
              <w:tab/>
              <w:t xml:space="default">27</w:t>
            </w:r>
          </w:hyperlink>
        </w:p>
        <w:p>
          <w:pPr>
            <w:pStyle w:val="TOC2"/>
            <w:tabs>
              <w:tab w:val="clear" w:pos="8786"/>
              <w:tab w:val="right" w:pos="9025" w:leader="dot"/>
            </w:tabs>
          </w:pPr>
          <w:hyperlink w:history="1" w:anchor="sec_6_5">
            <w:r>
              <w:rPr>
                <w:rStyle w:val="IndexLink"/>
              </w:rPr>
              <w:t xml:space="default">6.5 Signing Service</w:t>
              <w:tab/>
              <w:t xml:space="default">28</w:t>
            </w:r>
          </w:hyperlink>
        </w:p>
        <w:p>
          <w:pPr>
            <w:pStyle w:val="TOC2"/>
            <w:tabs>
              <w:tab w:val="clear" w:pos="8786"/>
              <w:tab w:val="right" w:pos="9025" w:leader="dot"/>
            </w:tabs>
          </w:pPr>
          <w:hyperlink w:history="1" w:anchor="sec_6_6">
            <w:r>
              <w:rPr>
                <w:rStyle w:val="IndexLink"/>
              </w:rPr>
              <w:t xml:space="default">6.6 Printer Control Service</w:t>
              <w:tab/>
              <w:t xml:space="default">28</w:t>
            </w:r>
          </w:hyperlink>
        </w:p>
        <w:p>
          <w:pPr>
            <w:pStyle w:val="TOC2"/>
            <w:tabs>
              <w:tab w:val="clear" w:pos="8786"/>
              <w:tab w:val="right" w:pos="9025" w:leader="dot"/>
            </w:tabs>
          </w:pPr>
          <w:hyperlink w:history="1" w:anchor="sec_6_7">
            <w:r>
              <w:rPr>
                <w:rStyle w:val="IndexLink"/>
              </w:rPr>
              <w:t xml:space="default">6.7 Laser Personalization Control Software</w:t>
              <w:tab/>
              <w:t xml:space="default">29</w:t>
            </w:r>
          </w:hyperlink>
        </w:p>
        <w:p>
          <w:pPr>
            <w:pStyle w:val="TOC2"/>
            <w:tabs>
              <w:tab w:val="clear" w:pos="8786"/>
              <w:tab w:val="right" w:pos="9025" w:leader="dot"/>
            </w:tabs>
          </w:pPr>
          <w:hyperlink w:history="1" w:anchor="sec_6_8">
            <w:r>
              <w:rPr>
                <w:rStyle w:val="IndexLink"/>
              </w:rPr>
              <w:t xml:space="default">6.8 Quality Control Management</w:t>
              <w:tab/>
              <w:t xml:space="default">29</w:t>
            </w:r>
          </w:hyperlink>
        </w:p>
        <w:p>
          <w:pPr>
            <w:pStyle w:val="TOC2"/>
            <w:tabs>
              <w:tab w:val="clear" w:pos="8786"/>
              <w:tab w:val="right" w:pos="9025" w:leader="dot"/>
            </w:tabs>
          </w:pPr>
          <w:hyperlink w:history="1" w:anchor="sec_6_9">
            <w:r>
              <w:rPr>
                <w:rStyle w:val="IndexLink"/>
              </w:rPr>
              <w:t xml:space="default">6.9 Mailing and Dispatch Management System</w:t>
              <w:tab/>
              <w:t xml:space="default">30</w:t>
            </w:r>
          </w:hyperlink>
        </w:p>
        <w:p>
          <w:pPr>
            <w:pStyle w:val="TOC2"/>
            <w:tabs>
              <w:tab w:val="clear" w:pos="8786"/>
              <w:tab w:val="right" w:pos="9025" w:leader="dot"/>
            </w:tabs>
          </w:pPr>
          <w:hyperlink w:history="1" w:anchor="sec_6_10">
            <w:r>
              <w:rPr>
                <w:rStyle w:val="IndexLink"/>
              </w:rPr>
              <w:t xml:space="default">6.10 Stock Control and Card Accountability</w:t>
              <w:tab/>
              <w:t xml:space="default">30</w:t>
            </w:r>
          </w:hyperlink>
        </w:p>
        <w:p>
          <w:pPr>
            <w:pStyle w:val="TOC2"/>
            <w:tabs>
              <w:tab w:val="clear" w:pos="8786"/>
              <w:tab w:val="right" w:pos="9025" w:leader="dot"/>
            </w:tabs>
          </w:pPr>
          <w:hyperlink w:history="1" w:anchor="sec_6_11">
            <w:r>
              <w:rPr>
                <w:rStyle w:val="IndexLink"/>
              </w:rPr>
              <w:t xml:space="default">6.11 Monitoring, Reporting and Analytics</w:t>
              <w:tab/>
              <w:t xml:space="default">32</w:t>
            </w:r>
          </w:hyperlink>
        </w:p>
        <w:p>
          <w:pPr>
            <w:pStyle w:val="TOC2"/>
            <w:tabs>
              <w:tab w:val="clear" w:pos="8786"/>
              <w:tab w:val="right" w:pos="9025" w:leader="dot"/>
            </w:tabs>
          </w:pPr>
          <w:hyperlink w:history="1" w:anchor="sec_6_12">
            <w:r>
              <w:rPr>
                <w:rStyle w:val="IndexLink"/>
              </w:rPr>
              <w:t xml:space="default">6.12 Administration and Access Control</w:t>
              <w:tab/>
              <w:t xml:space="default">32</w:t>
            </w:r>
          </w:hyperlink>
        </w:p>
        <w:p>
          <w:pPr>
            <w:pStyle w:val="TOC2"/>
            <w:tabs>
              <w:tab w:val="clear" w:pos="8786"/>
              <w:tab w:val="right" w:pos="9025" w:leader="dot"/>
            </w:tabs>
          </w:pPr>
          <w:hyperlink w:history="1" w:anchor="sec_6_13">
            <w:r>
              <w:rPr>
                <w:rStyle w:val="IndexLink"/>
              </w:rPr>
              <w:t xml:space="default">6.13 Presentation Layer</w:t>
              <w:tab/>
              <w:t xml:space="default">33</w:t>
            </w:r>
          </w:hyperlink>
        </w:p>
        <w:p>
          <w:pPr>
            <w:pStyle w:val="TOC2"/>
            <w:tabs>
              <w:tab w:val="clear" w:pos="8786"/>
              <w:tab w:val="right" w:pos="9025" w:leader="dot"/>
            </w:tabs>
          </w:pPr>
          <w:hyperlink w:history="1" w:anchor="sec_6_14">
            <w:r>
              <w:rPr>
                <w:rStyle w:val="IndexLink"/>
              </w:rPr>
              <w:t xml:space="default">6.14 Software inventory and licensing</w:t>
              <w:tab/>
              <w:t xml:space="default">36</w:t>
            </w:r>
          </w:hyperlink>
        </w:p>
        <w:p>
          <w:pPr>
            <w:pStyle w:val="TOC1"/>
            <w:tabs>
              <w:tab w:val="clear" w:pos="9026"/>
              <w:tab w:val="right" w:pos="9025" w:leader="dot"/>
            </w:tabs>
          </w:pPr>
          <w:hyperlink w:history="1" w:anchor="sec_7">
            <w:r>
              <w:rPr>
                <w:rStyle w:val="IndexLink"/>
              </w:rPr>
              <w:t xml:space="default">7. NRIS Integration</w:t>
              <w:tab/>
              <w:t xml:space="default">37</w:t>
            </w:r>
          </w:hyperlink>
        </w:p>
        <w:p>
          <w:pPr>
            <w:pStyle w:val="TOC2"/>
            <w:tabs>
              <w:tab w:val="clear" w:pos="8786"/>
              <w:tab w:val="right" w:pos="9025" w:leader="dot"/>
            </w:tabs>
          </w:pPr>
          <w:hyperlink w:history="1" w:anchor="sec_7_1">
            <w:r>
              <w:rPr>
                <w:rStyle w:val="IndexLink"/>
              </w:rPr>
              <w:t xml:space="default">7.1 Integration architecture</w:t>
              <w:tab/>
              <w:t xml:space="default">37</w:t>
            </w:r>
          </w:hyperlink>
        </w:p>
        <w:p>
          <w:pPr>
            <w:pStyle w:val="TOC2"/>
            <w:tabs>
              <w:tab w:val="clear" w:pos="8786"/>
              <w:tab w:val="right" w:pos="9025" w:leader="dot"/>
            </w:tabs>
          </w:pPr>
          <w:hyperlink w:history="1" w:anchor="sec_7_2">
            <w:r>
              <w:rPr>
                <w:rStyle w:val="IndexLink"/>
              </w:rPr>
              <w:t xml:space="default">7.2 Interfaces, protocols and middleware</w:t>
              <w:tab/>
              <w:t xml:space="default">38</w:t>
            </w:r>
          </w:hyperlink>
        </w:p>
        <w:p>
          <w:pPr>
            <w:pStyle w:val="TOC2"/>
            <w:tabs>
              <w:tab w:val="clear" w:pos="8786"/>
              <w:tab w:val="right" w:pos="9025" w:leader="dot"/>
            </w:tabs>
          </w:pPr>
          <w:hyperlink w:history="1" w:anchor="sec_7_3">
            <w:r>
              <w:rPr>
                <w:rStyle w:val="IndexLink"/>
              </w:rPr>
              <w:t xml:space="default">7.3 Data mapping and transformation</w:t>
              <w:tab/>
              <w:t xml:space="default">39</w:t>
            </w:r>
          </w:hyperlink>
        </w:p>
        <w:p>
          <w:pPr>
            <w:pStyle w:val="TOC2"/>
            <w:tabs>
              <w:tab w:val="clear" w:pos="8786"/>
              <w:tab w:val="right" w:pos="9025" w:leader="dot"/>
            </w:tabs>
          </w:pPr>
          <w:hyperlink w:history="1" w:anchor="sec_7_4">
            <w:r>
              <w:rPr>
                <w:rStyle w:val="IndexLink"/>
              </w:rPr>
              <w:t xml:space="default">7.4 Secure data exchange</w:t>
              <w:tab/>
              <w:t xml:space="default">40</w:t>
            </w:r>
          </w:hyperlink>
        </w:p>
        <w:p>
          <w:pPr>
            <w:pStyle w:val="TOC2"/>
            <w:tabs>
              <w:tab w:val="clear" w:pos="8786"/>
              <w:tab w:val="right" w:pos="9025" w:leader="dot"/>
            </w:tabs>
          </w:pPr>
          <w:hyperlink w:history="1" w:anchor="sec_7_5">
            <w:r>
              <w:rPr>
                <w:rStyle w:val="IndexLink"/>
              </w:rPr>
              <w:t xml:space="default">7.5 Database connectivity</w:t>
              <w:tab/>
              <w:t xml:space="default">41</w:t>
            </w:r>
          </w:hyperlink>
        </w:p>
        <w:p>
          <w:pPr>
            <w:pStyle w:val="TOC2"/>
            <w:tabs>
              <w:tab w:val="clear" w:pos="8786"/>
              <w:tab w:val="right" w:pos="9025" w:leader="dot"/>
            </w:tabs>
          </w:pPr>
          <w:hyperlink w:history="1" w:anchor="sec_7_6">
            <w:r>
              <w:rPr>
                <w:rStyle w:val="IndexLink"/>
              </w:rPr>
              <w:t xml:space="default">7.6 Real-time and batch processing</w:t>
              <w:tab/>
              <w:t xml:space="default">41</w:t>
            </w:r>
          </w:hyperlink>
        </w:p>
        <w:p>
          <w:pPr>
            <w:pStyle w:val="TOC2"/>
            <w:tabs>
              <w:tab w:val="clear" w:pos="8786"/>
              <w:tab w:val="right" w:pos="9025" w:leader="dot"/>
            </w:tabs>
          </w:pPr>
          <w:hyperlink w:history="1" w:anchor="sec_7_7">
            <w:r>
              <w:rPr>
                <w:rStyle w:val="IndexLink"/>
              </w:rPr>
              <w:t xml:space="default">7.7 Card production request management</w:t>
              <w:tab/>
              <w:t xml:space="default">42</w:t>
            </w:r>
          </w:hyperlink>
        </w:p>
        <w:p>
          <w:pPr>
            <w:pStyle w:val="TOC2"/>
            <w:tabs>
              <w:tab w:val="clear" w:pos="8786"/>
              <w:tab w:val="right" w:pos="9025" w:leader="dot"/>
            </w:tabs>
          </w:pPr>
          <w:hyperlink w:history="1" w:anchor="sec_7_8">
            <w:r>
              <w:rPr>
                <w:rStyle w:val="IndexLink"/>
              </w:rPr>
              <w:t xml:space="default">7.8 Citizen data retrieval</w:t>
              <w:tab/>
              <w:t xml:space="default">42</w:t>
            </w:r>
          </w:hyperlink>
        </w:p>
        <w:p>
          <w:pPr>
            <w:pStyle w:val="TOC2"/>
            <w:tabs>
              <w:tab w:val="clear" w:pos="8786"/>
              <w:tab w:val="right" w:pos="9025" w:leader="dot"/>
            </w:tabs>
          </w:pPr>
          <w:hyperlink w:history="1" w:anchor="sec_7_9">
            <w:r>
              <w:rPr>
                <w:rStyle w:val="IndexLink"/>
              </w:rPr>
              <w:t xml:space="default">7.9 Personalization and quality assurance integration</w:t>
              <w:tab/>
              <w:t xml:space="default">43</w:t>
            </w:r>
          </w:hyperlink>
        </w:p>
        <w:p>
          <w:pPr>
            <w:pStyle w:val="TOC2"/>
            <w:tabs>
              <w:tab w:val="clear" w:pos="8786"/>
              <w:tab w:val="right" w:pos="9025" w:leader="dot"/>
            </w:tabs>
          </w:pPr>
          <w:hyperlink w:history="1" w:anchor="sec_7_10">
            <w:r>
              <w:rPr>
                <w:rStyle w:val="IndexLink"/>
              </w:rPr>
              <w:t xml:space="default">7.10 Card lifecycle transactions</w:t>
              <w:tab/>
              <w:t xml:space="default">44</w:t>
            </w:r>
          </w:hyperlink>
        </w:p>
        <w:p>
          <w:pPr>
            <w:pStyle w:val="TOC2"/>
            <w:tabs>
              <w:tab w:val="clear" w:pos="8786"/>
              <w:tab w:val="right" w:pos="9025" w:leader="dot"/>
            </w:tabs>
          </w:pPr>
          <w:hyperlink w:history="1" w:anchor="sec_7_11">
            <w:r>
              <w:rPr>
                <w:rStyle w:val="IndexLink"/>
              </w:rPr>
              <w:t xml:space="default">7.11 Production status feedback</w:t>
              <w:tab/>
              <w:t xml:space="default">44</w:t>
            </w:r>
          </w:hyperlink>
        </w:p>
        <w:p>
          <w:pPr>
            <w:pStyle w:val="TOC2"/>
            <w:tabs>
              <w:tab w:val="clear" w:pos="8786"/>
              <w:tab w:val="right" w:pos="9025" w:leader="dot"/>
            </w:tabs>
          </w:pPr>
          <w:hyperlink w:history="1" w:anchor="sec_7_12">
            <w:r>
              <w:rPr>
                <w:rStyle w:val="IndexLink"/>
              </w:rPr>
              <w:t xml:space="default">7.12 Reprint and exception management</w:t>
              <w:tab/>
              <w:t xml:space="default">45</w:t>
            </w:r>
          </w:hyperlink>
        </w:p>
        <w:p>
          <w:pPr>
            <w:pStyle w:val="TOC2"/>
            <w:tabs>
              <w:tab w:val="clear" w:pos="8786"/>
              <w:tab w:val="right" w:pos="9025" w:leader="dot"/>
            </w:tabs>
          </w:pPr>
          <w:hyperlink w:history="1" w:anchor="sec_7_13">
            <w:r>
              <w:rPr>
                <w:rStyle w:val="IndexLink"/>
              </w:rPr>
              <w:t xml:space="default">7.13 Reporting and analytics integration</w:t>
              <w:tab/>
              <w:t xml:space="default">45</w:t>
            </w:r>
          </w:hyperlink>
        </w:p>
        <w:p>
          <w:pPr>
            <w:pStyle w:val="TOC2"/>
            <w:tabs>
              <w:tab w:val="clear" w:pos="8786"/>
              <w:tab w:val="right" w:pos="9025" w:leader="dot"/>
            </w:tabs>
          </w:pPr>
          <w:hyperlink w:history="1" w:anchor="sec_7_14">
            <w:r>
              <w:rPr>
                <w:rStyle w:val="IndexLink"/>
              </w:rPr>
              <w:t xml:space="default">7.14 Audit trail and end-to-end traceability</w:t>
              <w:tab/>
              <w:t xml:space="default">46</w:t>
            </w:r>
          </w:hyperlink>
        </w:p>
        <w:p>
          <w:pPr>
            <w:pStyle w:val="TOC2"/>
            <w:tabs>
              <w:tab w:val="clear" w:pos="8786"/>
              <w:tab w:val="right" w:pos="9025" w:leader="dot"/>
            </w:tabs>
          </w:pPr>
          <w:hyperlink w:history="1" w:anchor="sec_7_15">
            <w:r>
              <w:rPr>
                <w:rStyle w:val="IndexLink"/>
              </w:rPr>
              <w:t xml:space="default">7.15 Disaster recovery integration</w:t>
              <w:tab/>
              <w:t xml:space="default">47</w:t>
            </w:r>
          </w:hyperlink>
        </w:p>
        <w:p>
          <w:pPr>
            <w:pStyle w:val="TOC2"/>
            <w:tabs>
              <w:tab w:val="clear" w:pos="8786"/>
              <w:tab w:val="right" w:pos="9025" w:leader="dot"/>
            </w:tabs>
          </w:pPr>
          <w:hyperlink w:history="1" w:anchor="sec_7_16">
            <w:r>
              <w:rPr>
                <w:rStyle w:val="IndexLink"/>
              </w:rPr>
              <w:t xml:space="default">7.16 Integration testing</w:t>
              <w:tab/>
              <w:t xml:space="default">47</w:t>
            </w:r>
          </w:hyperlink>
        </w:p>
        <w:p>
          <w:pPr>
            <w:pStyle w:val="TOC2"/>
            <w:tabs>
              <w:tab w:val="clear" w:pos="8786"/>
              <w:tab w:val="right" w:pos="9025" w:leader="dot"/>
            </w:tabs>
          </w:pPr>
          <w:hyperlink w:history="1" w:anchor="sec_7_17">
            <w:r>
              <w:rPr>
                <w:rStyle w:val="IndexLink"/>
              </w:rPr>
              <w:t xml:space="default">7.17 Integration deliverables</w:t>
              <w:tab/>
              <w:t xml:space="default">48</w:t>
            </w:r>
          </w:hyperlink>
        </w:p>
        <w:p>
          <w:pPr>
            <w:pStyle w:val="TOC1"/>
            <w:tabs>
              <w:tab w:val="clear" w:pos="9026"/>
              <w:tab w:val="right" w:pos="9025" w:leader="dot"/>
            </w:tabs>
          </w:pPr>
          <w:hyperlink w:history="1" w:anchor="sec_8">
            <w:r>
              <w:rPr>
                <w:rStyle w:val="IndexLink"/>
              </w:rPr>
              <w:t xml:space="default">8. Dispatch and Delivery Tracking</w:t>
              <w:tab/>
              <w:t xml:space="default">50</w:t>
            </w:r>
          </w:hyperlink>
        </w:p>
        <w:p>
          <w:pPr>
            <w:pStyle w:val="TOC2"/>
            <w:tabs>
              <w:tab w:val="clear" w:pos="8786"/>
              <w:tab w:val="right" w:pos="9025" w:leader="dot"/>
            </w:tabs>
          </w:pPr>
          <w:hyperlink w:history="1" w:anchor="sec_8_1">
            <w:r>
              <w:rPr>
                <w:rStyle w:val="IndexLink"/>
              </w:rPr>
              <w:t xml:space="default">8.1 Dispatch record generation</w:t>
              <w:tab/>
              <w:t xml:space="default">50</w:t>
            </w:r>
          </w:hyperlink>
        </w:p>
        <w:p>
          <w:pPr>
            <w:pStyle w:val="TOC2"/>
            <w:tabs>
              <w:tab w:val="clear" w:pos="8786"/>
              <w:tab w:val="right" w:pos="9025" w:leader="dot"/>
            </w:tabs>
          </w:pPr>
          <w:hyperlink w:history="1" w:anchor="sec_8_2">
            <w:r>
              <w:rPr>
                <w:rStyle w:val="IndexLink"/>
              </w:rPr>
              <w:t xml:space="default">8.2 Dispatch batching and destination routing</w:t>
              <w:tab/>
              <w:t xml:space="default">50</w:t>
            </w:r>
          </w:hyperlink>
        </w:p>
        <w:p>
          <w:pPr>
            <w:pStyle w:val="TOC2"/>
            <w:tabs>
              <w:tab w:val="clear" w:pos="8786"/>
              <w:tab w:val="right" w:pos="9025" w:leader="dot"/>
            </w:tabs>
          </w:pPr>
          <w:hyperlink w:history="1" w:anchor="sec_8_3">
            <w:r>
              <w:rPr>
                <w:rStyle w:val="IndexLink"/>
              </w:rPr>
              <w:t xml:space="default">8.3 Delivery status tracking and cardholder notification</w:t>
              <w:tab/>
              <w:t xml:space="default">51</w:t>
            </w:r>
          </w:hyperlink>
        </w:p>
        <w:p>
          <w:pPr>
            <w:pStyle w:val="TOC2"/>
            <w:tabs>
              <w:tab w:val="clear" w:pos="8786"/>
              <w:tab w:val="right" w:pos="9025" w:leader="dot"/>
            </w:tabs>
          </w:pPr>
          <w:hyperlink w:history="1" w:anchor="sec_8_4">
            <w:r>
              <w:rPr>
                <w:rStyle w:val="IndexLink"/>
              </w:rPr>
              <w:t xml:space="default">8.4 Status feedback to NRIS</w:t>
              <w:tab/>
              <w:t xml:space="default">51</w:t>
            </w:r>
          </w:hyperlink>
        </w:p>
        <w:p>
          <w:pPr>
            <w:pStyle w:val="TOC2"/>
            <w:tabs>
              <w:tab w:val="clear" w:pos="8786"/>
              <w:tab w:val="right" w:pos="9025" w:leader="dot"/>
            </w:tabs>
          </w:pPr>
          <w:hyperlink w:history="1" w:anchor="sec_8_5">
            <w:r>
              <w:rPr>
                <w:rStyle w:val="IndexLink"/>
              </w:rPr>
              <w:t xml:space="default">8.5 Undelivered, returned and re-dispatched items</w:t>
              <w:tab/>
              <w:t xml:space="default">51</w:t>
            </w:r>
          </w:hyperlink>
        </w:p>
        <w:p>
          <w:pPr>
            <w:pStyle w:val="TOC2"/>
            <w:tabs>
              <w:tab w:val="clear" w:pos="8786"/>
              <w:tab w:val="right" w:pos="9025" w:leader="dot"/>
            </w:tabs>
          </w:pPr>
          <w:hyperlink w:history="1" w:anchor="sec_8_6">
            <w:r>
              <w:rPr>
                <w:rStyle w:val="IndexLink"/>
              </w:rPr>
              <w:t xml:space="default">8.6 Courier integration readiness</w:t>
              <w:tab/>
              <w:t xml:space="default">52</w:t>
            </w:r>
          </w:hyperlink>
        </w:p>
        <w:p>
          <w:pPr>
            <w:pStyle w:val="TOC1"/>
            <w:tabs>
              <w:tab w:val="clear" w:pos="9026"/>
              <w:tab w:val="right" w:pos="9025" w:leader="dot"/>
            </w:tabs>
          </w:pPr>
          <w:hyperlink w:history="1" w:anchor="sec_9">
            <w:r>
              <w:rPr>
                <w:rStyle w:val="IndexLink"/>
              </w:rPr>
              <w:t xml:space="default">9. Infrastructure</w:t>
              <w:tab/>
              <w:t xml:space="default">54</w:t>
            </w:r>
          </w:hyperlink>
        </w:p>
        <w:p>
          <w:pPr>
            <w:pStyle w:val="TOC2"/>
            <w:tabs>
              <w:tab w:val="clear" w:pos="8786"/>
              <w:tab w:val="right" w:pos="9025" w:leader="dot"/>
            </w:tabs>
          </w:pPr>
          <w:hyperlink w:history="1" w:anchor="sec_9_1">
            <w:r>
              <w:rPr>
                <w:rStyle w:val="IndexLink"/>
              </w:rPr>
              <w:t xml:space="default">9.1 Deployment architecture and platform</w:t>
              <w:tab/>
              <w:t xml:space="default">54</w:t>
            </w:r>
          </w:hyperlink>
        </w:p>
        <w:p>
          <w:pPr>
            <w:pStyle w:val="TOC2"/>
            <w:tabs>
              <w:tab w:val="clear" w:pos="8786"/>
              <w:tab w:val="right" w:pos="9025" w:leader="dot"/>
            </w:tabs>
          </w:pPr>
          <w:hyperlink w:history="1" w:anchor="sec_9_2">
            <w:r>
              <w:rPr>
                <w:rStyle w:val="IndexLink"/>
              </w:rPr>
              <w:t xml:space="default">9.2 Network architecture and security zoning</w:t>
              <w:tab/>
              <w:t xml:space="default">59</w:t>
            </w:r>
          </w:hyperlink>
        </w:p>
        <w:p>
          <w:pPr>
            <w:pStyle w:val="TOC2"/>
            <w:tabs>
              <w:tab w:val="clear" w:pos="8786"/>
              <w:tab w:val="right" w:pos="9025" w:leader="dot"/>
            </w:tabs>
          </w:pPr>
          <w:hyperlink w:history="1" w:anchor="sec_9_3">
            <w:r>
              <w:rPr>
                <w:rStyle w:val="IndexLink"/>
              </w:rPr>
              <w:t xml:space="default">9.3 High availability, failover and disaster recovery</w:t>
              <w:tab/>
              <w:t xml:space="default">63</w:t>
            </w:r>
          </w:hyperlink>
        </w:p>
        <w:p>
          <w:pPr>
            <w:pStyle w:val="TOC2"/>
            <w:tabs>
              <w:tab w:val="clear" w:pos="8786"/>
              <w:tab w:val="right" w:pos="9025" w:leader="dot"/>
            </w:tabs>
          </w:pPr>
          <w:hyperlink w:history="1" w:anchor="sec_9_4">
            <w:r>
              <w:rPr>
                <w:rStyle w:val="IndexLink"/>
              </w:rPr>
              <w:t xml:space="default">9.4 Infrastructure scope of supply</w:t>
              <w:tab/>
              <w:t xml:space="default">65</w:t>
            </w:r>
          </w:hyperlink>
        </w:p>
        <w:p>
          <w:pPr>
            <w:pStyle w:val="TOC2"/>
            <w:tabs>
              <w:tab w:val="clear" w:pos="8786"/>
              <w:tab w:val="right" w:pos="9025" w:leader="dot"/>
            </w:tabs>
          </w:pPr>
          <w:hyperlink w:history="1" w:anchor="sec_9_5">
            <w:r>
              <w:rPr>
                <w:rStyle w:val="IndexLink"/>
              </w:rPr>
              <w:t xml:space="default">9.5 Facility requirements</w:t>
              <w:tab/>
              <w:t xml:space="default">67</w:t>
            </w:r>
          </w:hyperlink>
        </w:p>
        <w:p>
          <w:pPr>
            <w:pStyle w:val="TOC1"/>
            <w:tabs>
              <w:tab w:val="clear" w:pos="9026"/>
              <w:tab w:val="right" w:pos="9025" w:leader="dot"/>
            </w:tabs>
          </w:pPr>
          <w:hyperlink w:history="1" w:anchor="sec_10">
            <w:r>
              <w:rPr>
                <w:rStyle w:val="IndexLink"/>
              </w:rPr>
              <w:t xml:space="default">10. Security Architecture</w:t>
              <w:tab/>
              <w:t xml:space="default">69</w:t>
            </w:r>
          </w:hyperlink>
        </w:p>
        <w:p>
          <w:pPr>
            <w:pStyle w:val="TOC2"/>
            <w:tabs>
              <w:tab w:val="clear" w:pos="8786"/>
              <w:tab w:val="right" w:pos="9025" w:leader="dot"/>
            </w:tabs>
          </w:pPr>
          <w:hyperlink w:history="1" w:anchor="sec_10_1">
            <w:r>
              <w:rPr>
                <w:rStyle w:val="IndexLink"/>
              </w:rPr>
              <w:t xml:space="default">10.1 Security model</w:t>
              <w:tab/>
              <w:t xml:space="default">69</w:t>
            </w:r>
          </w:hyperlink>
        </w:p>
        <w:p>
          <w:pPr>
            <w:pStyle w:val="TOC2"/>
            <w:tabs>
              <w:tab w:val="clear" w:pos="8786"/>
              <w:tab w:val="right" w:pos="9025" w:leader="dot"/>
            </w:tabs>
          </w:pPr>
          <w:hyperlink w:history="1" w:anchor="sec_10_2">
            <w:r>
              <w:rPr>
                <w:rStyle w:val="IndexLink"/>
              </w:rPr>
              <w:t xml:space="default">10.2 Data protection and encryption</w:t>
              <w:tab/>
              <w:t xml:space="default">70</w:t>
            </w:r>
          </w:hyperlink>
        </w:p>
        <w:p>
          <w:pPr>
            <w:pStyle w:val="TOC2"/>
            <w:tabs>
              <w:tab w:val="clear" w:pos="8786"/>
              <w:tab w:val="right" w:pos="9025" w:leader="dot"/>
            </w:tabs>
          </w:pPr>
          <w:hyperlink w:history="1" w:anchor="sec_10_3">
            <w:r>
              <w:rPr>
                <w:rStyle w:val="IndexLink"/>
              </w:rPr>
              <w:t xml:space="default">10.3 Identity and access management</w:t>
              <w:tab/>
              <w:t xml:space="default">71</w:t>
            </w:r>
          </w:hyperlink>
        </w:p>
        <w:p>
          <w:pPr>
            <w:pStyle w:val="TOC2"/>
            <w:tabs>
              <w:tab w:val="clear" w:pos="8786"/>
              <w:tab w:val="right" w:pos="9025" w:leader="dot"/>
            </w:tabs>
          </w:pPr>
          <w:hyperlink w:history="1" w:anchor="sec_10_4">
            <w:r>
              <w:rPr>
                <w:rStyle w:val="IndexLink"/>
              </w:rPr>
              <w:t xml:space="default">10.4 PKI, HSM and digital signature architecture</w:t>
              <w:tab/>
              <w:t xml:space="default">72</w:t>
            </w:r>
          </w:hyperlink>
        </w:p>
        <w:p>
          <w:pPr>
            <w:pStyle w:val="TOC2"/>
            <w:tabs>
              <w:tab w:val="clear" w:pos="8786"/>
              <w:tab w:val="right" w:pos="9025" w:leader="dot"/>
            </w:tabs>
          </w:pPr>
          <w:hyperlink w:history="1" w:anchor="sec_10_5">
            <w:r>
              <w:rPr>
                <w:rStyle w:val="IndexLink"/>
              </w:rPr>
              <w:t xml:space="default">10.5 Application and interface security</w:t>
              <w:tab/>
              <w:t xml:space="default">74</w:t>
            </w:r>
          </w:hyperlink>
        </w:p>
        <w:p>
          <w:pPr>
            <w:pStyle w:val="TOC2"/>
            <w:tabs>
              <w:tab w:val="clear" w:pos="8786"/>
              <w:tab w:val="right" w:pos="9025" w:leader="dot"/>
            </w:tabs>
          </w:pPr>
          <w:hyperlink w:history="1" w:anchor="sec_10_6">
            <w:r>
              <w:rPr>
                <w:rStyle w:val="IndexLink"/>
              </w:rPr>
              <w:t xml:space="default">10.6 Logging and audit</w:t>
              <w:tab/>
              <w:t xml:space="default">76</w:t>
            </w:r>
          </w:hyperlink>
        </w:p>
        <w:p>
          <w:pPr>
            <w:pStyle w:val="TOC2"/>
            <w:tabs>
              <w:tab w:val="clear" w:pos="8786"/>
              <w:tab w:val="right" w:pos="9025" w:leader="dot"/>
            </w:tabs>
          </w:pPr>
          <w:hyperlink w:history="1" w:anchor="sec_10_7">
            <w:r>
              <w:rPr>
                <w:rStyle w:val="IndexLink"/>
              </w:rPr>
              <w:t xml:space="default">10.7 Security monitoring and Security Operations Center</w:t>
              <w:tab/>
              <w:t xml:space="default">76</w:t>
            </w:r>
          </w:hyperlink>
        </w:p>
        <w:p>
          <w:pPr>
            <w:pStyle w:val="TOC2"/>
            <w:tabs>
              <w:tab w:val="clear" w:pos="8786"/>
              <w:tab w:val="right" w:pos="9025" w:leader="dot"/>
            </w:tabs>
          </w:pPr>
          <w:hyperlink w:history="1" w:anchor="sec_10_8">
            <w:r>
              <w:rPr>
                <w:rStyle w:val="IndexLink"/>
              </w:rPr>
              <w:t xml:space="default">10.8 Standards compliance</w:t>
              <w:tab/>
              <w:t xml:space="default">79</w:t>
            </w:r>
          </w:hyperlink>
        </w:p>
        <w:p>
          <w:pPr>
            <w:pStyle w:val="TOC1"/>
            <w:tabs>
              <w:tab w:val="clear" w:pos="9026"/>
              <w:tab w:val="right" w:pos="9025" w:leader="dot"/>
            </w:tabs>
          </w:pPr>
          <w:hyperlink w:history="1" w:anchor="sec_11">
            <w:r>
              <w:rPr>
                <w:rStyle w:val="IndexLink"/>
              </w:rPr>
              <w:t xml:space="default">11. Performance and Capacity</w:t>
              <w:tab/>
              <w:t xml:space="default">81</w:t>
            </w:r>
          </w:hyperlink>
        </w:p>
        <w:p>
          <w:pPr>
            <w:pStyle w:val="TOC2"/>
            <w:tabs>
              <w:tab w:val="clear" w:pos="8786"/>
              <w:tab w:val="right" w:pos="9025" w:leader="dot"/>
            </w:tabs>
          </w:pPr>
          <w:hyperlink w:history="1" w:anchor="sec_11_1">
            <w:r>
              <w:rPr>
                <w:rStyle w:val="IndexLink"/>
              </w:rPr>
              <w:t xml:space="default">11.1 Production capacity</w:t>
              <w:tab/>
              <w:t xml:space="default">81</w:t>
            </w:r>
          </w:hyperlink>
        </w:p>
        <w:p>
          <w:pPr>
            <w:pStyle w:val="TOC2"/>
            <w:tabs>
              <w:tab w:val="clear" w:pos="8786"/>
              <w:tab w:val="right" w:pos="9025" w:leader="dot"/>
            </w:tabs>
          </w:pPr>
          <w:hyperlink w:history="1" w:anchor="sec_11_2">
            <w:r>
              <w:rPr>
                <w:rStyle w:val="IndexLink"/>
              </w:rPr>
              <w:t xml:space="default">11.2 System response times</w:t>
              <w:tab/>
              <w:t xml:space="default">81</w:t>
            </w:r>
          </w:hyperlink>
        </w:p>
        <w:p>
          <w:pPr>
            <w:pStyle w:val="TOC2"/>
            <w:tabs>
              <w:tab w:val="clear" w:pos="8786"/>
              <w:tab w:val="right" w:pos="9025" w:leader="dot"/>
            </w:tabs>
          </w:pPr>
          <w:hyperlink w:history="1" w:anchor="sec_11_3">
            <w:r>
              <w:rPr>
                <w:rStyle w:val="IndexLink"/>
              </w:rPr>
              <w:t xml:space="default">11.3 Concurrent users</w:t>
              <w:tab/>
              <w:t xml:space="default">82</w:t>
            </w:r>
          </w:hyperlink>
        </w:p>
        <w:p>
          <w:pPr>
            <w:pStyle w:val="TOC2"/>
            <w:tabs>
              <w:tab w:val="clear" w:pos="8786"/>
              <w:tab w:val="right" w:pos="9025" w:leader="dot"/>
            </w:tabs>
          </w:pPr>
          <w:hyperlink w:history="1" w:anchor="sec_11_4">
            <w:r>
              <w:rPr>
                <w:rStyle w:val="IndexLink"/>
              </w:rPr>
              <w:t xml:space="default">11.4 Data volumes, growth and retention</w:t>
              <w:tab/>
              <w:t xml:space="default">83</w:t>
            </w:r>
          </w:hyperlink>
        </w:p>
        <w:p>
          <w:pPr>
            <w:pStyle w:val="TOC2"/>
            <w:tabs>
              <w:tab w:val="clear" w:pos="8786"/>
              <w:tab w:val="right" w:pos="9025" w:leader="dot"/>
            </w:tabs>
          </w:pPr>
          <w:hyperlink w:history="1" w:anchor="sec_11_5">
            <w:r>
              <w:rPr>
                <w:rStyle w:val="IndexLink"/>
              </w:rPr>
              <w:t xml:space="default">11.5 Performance under peak and failover conditions</w:t>
              <w:tab/>
              <w:t xml:space="default">83</w:t>
            </w:r>
          </w:hyperlink>
        </w:p>
        <w:p>
          <w:pPr>
            <w:pStyle w:val="TOC2"/>
            <w:tabs>
              <w:tab w:val="clear" w:pos="8786"/>
              <w:tab w:val="right" w:pos="9025" w:leader="dot"/>
            </w:tabs>
          </w:pPr>
          <w:hyperlink w:history="1" w:anchor="sec_11_6">
            <w:r>
              <w:rPr>
                <w:rStyle w:val="IndexLink"/>
              </w:rPr>
              <w:t xml:space="default">11.6 Performance validation</w:t>
              <w:tab/>
              <w:t xml:space="default">84</w:t>
            </w:r>
          </w:hyperlink>
        </w:p>
        <w:p>
          <w:pPr>
            <w:pStyle w:val="TOC1"/>
            <w:tabs>
              <w:tab w:val="clear" w:pos="9026"/>
              <w:tab w:val="right" w:pos="9025" w:leader="dot"/>
            </w:tabs>
          </w:pPr>
          <w:hyperlink w:history="1" w:anchor="sec_12">
            <w:r>
              <w:rPr>
                <w:rStyle w:val="IndexLink"/>
              </w:rPr>
              <w:t xml:space="default">12. Operations, Administration and Support</w:t>
              <w:tab/>
              <w:t xml:space="default">86</w:t>
            </w:r>
          </w:hyperlink>
        </w:p>
        <w:p>
          <w:pPr>
            <w:pStyle w:val="TOC2"/>
            <w:tabs>
              <w:tab w:val="clear" w:pos="8786"/>
              <w:tab w:val="right" w:pos="9025" w:leader="dot"/>
            </w:tabs>
          </w:pPr>
          <w:hyperlink w:history="1" w:anchor="sec_12_1">
            <w:r>
              <w:rPr>
                <w:rStyle w:val="IndexLink"/>
              </w:rPr>
              <w:t xml:space="default">12.1 System administration and configuration management</w:t>
              <w:tab/>
              <w:t xml:space="default">86</w:t>
            </w:r>
          </w:hyperlink>
        </w:p>
        <w:p>
          <w:pPr>
            <w:pStyle w:val="TOC2"/>
            <w:tabs>
              <w:tab w:val="clear" w:pos="8786"/>
              <w:tab w:val="right" w:pos="9025" w:leader="dot"/>
            </w:tabs>
          </w:pPr>
          <w:hyperlink w:history="1" w:anchor="sec_12_2">
            <w:r>
              <w:rPr>
                <w:rStyle w:val="IndexLink"/>
              </w:rPr>
              <w:t xml:space="default">12.2 Operational monitoring, diagnostics and troubleshooting</w:t>
              <w:tab/>
              <w:t xml:space="default">87</w:t>
            </w:r>
          </w:hyperlink>
        </w:p>
        <w:p>
          <w:pPr>
            <w:pStyle w:val="TOC2"/>
            <w:tabs>
              <w:tab w:val="clear" w:pos="8786"/>
              <w:tab w:val="right" w:pos="9025" w:leader="dot"/>
            </w:tabs>
          </w:pPr>
          <w:hyperlink w:history="1" w:anchor="sec_12_3">
            <w:r>
              <w:rPr>
                <w:rStyle w:val="IndexLink"/>
              </w:rPr>
              <w:t xml:space="default">12.3 Backup, recovery and restoration</w:t>
              <w:tab/>
              <w:t xml:space="default">87</w:t>
            </w:r>
          </w:hyperlink>
        </w:p>
        <w:p>
          <w:pPr>
            <w:pStyle w:val="TOC2"/>
            <w:tabs>
              <w:tab w:val="clear" w:pos="8786"/>
              <w:tab w:val="right" w:pos="9025" w:leader="dot"/>
            </w:tabs>
          </w:pPr>
          <w:hyperlink w:history="1" w:anchor="sec_12_4">
            <w:r>
              <w:rPr>
                <w:rStyle w:val="IndexLink"/>
              </w:rPr>
              <w:t xml:space="default">12.4 Support model, service levels and performance indicators</w:t>
              <w:tab/>
              <w:t xml:space="default">88</w:t>
            </w:r>
          </w:hyperlink>
        </w:p>
        <w:p>
          <w:pPr>
            <w:pStyle w:val="TOC2"/>
            <w:tabs>
              <w:tab w:val="clear" w:pos="8786"/>
              <w:tab w:val="right" w:pos="9025" w:leader="dot"/>
            </w:tabs>
          </w:pPr>
          <w:hyperlink w:history="1" w:anchor="sec_12_5">
            <w:r>
              <w:rPr>
                <w:rStyle w:val="IndexLink"/>
              </w:rPr>
              <w:t xml:space="default">12.5 Spare parts and consumables</w:t>
              <w:tab/>
              <w:t xml:space="default">90</w:t>
            </w:r>
          </w:hyperlink>
        </w:p>
        <w:p>
          <w:pPr>
            <w:pStyle w:val="TOC1"/>
            <w:tabs>
              <w:tab w:val="clear" w:pos="9026"/>
              <w:tab w:val="right" w:pos="9025" w:leader="dot"/>
            </w:tabs>
          </w:pPr>
          <w:hyperlink w:history="1" w:anchor="sec_13">
            <w:r>
              <w:rPr>
                <w:rStyle w:val="IndexLink"/>
              </w:rPr>
              <w:t xml:space="default">13. Basis of Offer</w:t>
              <w:tab/>
              <w:t xml:space="default">92</w:t>
            </w:r>
          </w:hyperlink>
        </w:p>
        <w:p>
          <w:pPr>
            <w:pStyle w:val="TOC2"/>
            <w:tabs>
              <w:tab w:val="clear" w:pos="8786"/>
              <w:tab w:val="right" w:pos="9025" w:leader="dot"/>
            </w:tabs>
          </w:pPr>
          <w:hyperlink w:history="1" w:anchor="sec_13_1">
            <w:r>
              <w:rPr>
                <w:rStyle w:val="IndexLink"/>
              </w:rPr>
              <w:t xml:space="default">13.1 Purchaser-provided items and services</w:t>
              <w:tab/>
              <w:t xml:space="default">92</w:t>
            </w:r>
          </w:hyperlink>
        </w:p>
        <w:p>
          <w:pPr>
            <w:pStyle w:val="TOC2"/>
            <w:tabs>
              <w:tab w:val="clear" w:pos="8786"/>
              <w:tab w:val="right" w:pos="9025" w:leader="dot"/>
            </w:tabs>
          </w:pPr>
          <w:hyperlink w:history="1" w:anchor="sec_13_2">
            <w:r>
              <w:rPr>
                <w:rStyle w:val="IndexLink"/>
              </w:rPr>
              <w:t xml:space="default">13.2 Interfaces to systems outside the scope of supply</w:t>
              <w:tab/>
              <w:t xml:space="default">93</w:t>
            </w:r>
          </w:hyperlink>
        </w:p>
        <w:p>
          <w:pPr>
            <w:pStyle w:val="TOC2"/>
            <w:tabs>
              <w:tab w:val="clear" w:pos="8786"/>
              <w:tab w:val="right" w:pos="9025" w:leader="dot"/>
            </w:tabs>
          </w:pPr>
          <w:hyperlink w:history="1" w:anchor="sec_13_3">
            <w:r>
              <w:rPr>
                <w:rStyle w:val="IndexLink"/>
              </w:rPr>
              <w:t xml:space="default">13.3 Matters for confirmation</w:t>
              <w:tab/>
              <w:t xml:space="default">94</w:t>
            </w:r>
          </w:hyperlink>
        </w:p>
        <w:p>
          <w:pPr>
            <w:pStyle w:val="TOC1"/>
            <w:tabs>
              <w:tab w:val="clear" w:pos="9026"/>
              <w:tab w:val="right" w:pos="9025" w:leader="dot"/>
            </w:tabs>
          </w:pPr>
          <w:hyperlink w:history="1" w:anchor="annex_a">
            <w:r>
              <w:rPr>
                <w:rStyle w:val="IndexLink"/>
              </w:rPr>
              <w:t xml:space="default">Annex A. Abbreviations</w:t>
              <w:tab/>
              <w:t xml:space="default">95</w:t>
            </w:r>
          </w:hyperlink>
          <w:r>
            <w:fldChar w:fldCharType="end"/>
          </w:r>
        </w:p>
      </w:sdtContent>
    </w:sdt>
    <w:p>
      <w:pPr>
        <w:pStyle w:val="Heading1"/>
        <w:pageBreakBefore/>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pPr>
        <w:pStyle w:val="Heading1"/>
        <w:pageBreakBefore/>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so that while a machine is serviced, or if a whole line is lost, production continues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70"/>
        <w:gridCol w:w="1560"/>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7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70"/>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0"/>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70"/>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70"/>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70"/>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70"/>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the dispatch reference and a barcode of the card identifier. The machine reads the carrier's barcode and matches it to the card before affixing the card, so that each card reaches the correct recipient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70"/>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70"/>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pPr>
        <w:pStyle w:val="Heading1"/>
        <w:pageBreakBefore/>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22"/>
        <w:gridCol w:w="6998"/>
      </w:tblGrid>
      <w:tr>
        <w:trPr>
          <w:tblHeader/>
        </w:trPr>
        <w:tc>
          <w:tcPr>
            <w:tcW w:type="dxa" w:w="2022"/>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98"/>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98"/>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98"/>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98"/>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98"/>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Filtering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Filters the air extracted from the laser marking area. The laser units need no cooling system</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98"/>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98"/>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98"/>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machines are configured for laser personalization without inkjet printing and need no compressed air supply.</w:t>
      </w: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filtering system, all operating under synchronized workflow control as a single system. The laser units need no cooling system, as the manufacturer confirms.</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L</w:t>
      </w:r>
      <w:bookmarkStart w:name="sec_3_4" w:id="1"/>
      <w:r>
        <w:rPr>
          <w:b w:val="false"/>
          <w:bCs w:val="false"/>
          <w:i w:val="false"/>
          <w:iCs w:val="false"/>
        </w:rPr>
        <w:t xml:space="preserve">aser station configuration</w:t>
      </w:r>
      <w:bookmarkEnd w:id="1"/>
    </w:p>
    <w:p>
      <w:pPr>
        <w:spacing w:after="140" w:line="276"/>
      </w:pPr>
      <w:r>
        <w:rPr>
          <w:b w:val="false"/>
          <w:bCs w:val="false"/>
          <w:i w:val="false"/>
          <w:iCs w:val="false"/>
        </w:rPr>
        <w:t xml:space="preserve">Each machine carries five laser stations, in the configuration the manufacturer recommends for performance: two for each face of the card and one for the CLI. Each card is personalized on both faces, including its CLI, within one machine and in a single pass of the transport path.</w:t>
      </w:r>
    </w:p>
    <w:p>
      <w:pPr>
        <w:spacing w:after="140" w:line="276"/>
      </w:pPr>
      <w:r>
        <w:rPr>
          <w:b/>
          <w:bCs/>
          <w:i w:val="false"/>
          <w:iCs w:val="false"/>
        </w:rPr>
        <w:t xml:space="preserve">A station can be taken out of service.</w:t>
      </w:r>
      <w:r>
        <w:rPr>
          <w:b w:val="false"/>
          <w:bCs w:val="false"/>
          <w:i w:val="false"/>
          <w:iCs w:val="false"/>
        </w:rPr>
        <w:t xml:space="preserve"> Any laser station can be switched off or removed for maintenance. The machine is then set up for the stations that remain, which takes a change to the job and machine settings, so a station is taken out at the end of a production run rather than during it. With a station for one face out of service, the machine continues on the other station for that face.</w:t>
      </w:r>
    </w:p>
    <w:p>
      <w:pPr>
        <w:spacing w:after="140" w:line="276"/>
      </w:pPr>
      <w:r>
        <w:rPr>
          <w:b/>
          <w:bCs/>
          <w:i w:val="false"/>
          <w:iCs w:val="false"/>
        </w:rPr>
        <w:t xml:space="preserve">Production continues on the other machine.</w:t>
      </w:r>
      <w:r>
        <w:rPr>
          <w:b w:val="false"/>
          <w:bCs w:val="false"/>
          <w:i w:val="false"/>
          <w:iCs w:val="false"/>
        </w:rPr>
        <w:t xml:space="preserve"> The two machines are complete and independent production lines, as described in </w:t>
      </w:r>
      <w:r>
        <w:rPr>
          <w:b w:val="false"/>
          <w:bCs w:val="false"/>
          <w:i w:val="false"/>
          <w:iCs w:val="false"/>
        </w:rPr>
        <w:t xml:space="preserve">Section </w:t>
      </w:r>
      <w:fldSimple w:instr="REF sec_3_1 \w \h">
        <w:r>
          <w:t xml:space="preserve">3.1</w:t>
        </w:r>
      </w:fldSimple>
      <w:r>
        <w:rPr>
          <w:b w:val="false"/>
          <w:bCs w:val="false"/>
          <w:i w:val="false"/>
          <w:iCs w:val="false"/>
        </w:rPr>
        <w:t xml:space="preserve">. While one is being serviced, including its CLI station, production continues on the other, so the servicing of a station does not stop card production.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Five laser stations, two for each face and one for the CLI, personalize each card in a single pass. Line 2 is identical and independent of line 1.</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0"/>
        <w:gridCol w:w="6810"/>
      </w:tblGrid>
      <w:tr>
        <w:trPr>
          <w:tblHeader/>
        </w:trPr>
        <w:tc>
          <w:tcPr>
            <w:tcW w:type="dxa" w:w="221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810"/>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2,000 accepted finished cards per hour, duplex</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1,000 accepted finished cards per hour</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810"/>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810"/>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810"/>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810"/>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 As clarified in the Responses to Queries 003, throughput counts accepted finished cards, so a rejected card does not count towards it.</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pPr>
        <w:pStyle w:val="Heading1"/>
        <w:pageBreakBefore/>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are specified to: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from an independent international laboratory holding ISO/IEC 17025 accreditation with a scope covering these standards, are provided before the first card delivery,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pPr>
        <w:pStyle w:val="Heading1"/>
        <w:pageBreakBefore/>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5"/>
        <w:gridCol w:w="7095"/>
      </w:tblGrid>
      <w:tr>
        <w:trPr>
          <w:tblHeader/>
        </w:trPr>
        <w:tc>
          <w:tcPr>
            <w:tcW w:type="dxa" w:w="1925"/>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7095"/>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7095"/>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the dispatch reference and a barcode of the card identifier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barcode on the carrier, matches it to the card, and attaches one to four cards to the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Attachment check</w:t>
            </w:r>
          </w:p>
        </w:tc>
        <w:tc>
          <w:tcPr>
            <w:tcW w:type="dxa" w:w="7095"/>
            <w:tcMar>
              <w:top w:type="dxa" w:w="60"/>
              <w:left w:type="dxa" w:w="100"/>
              <w:bottom w:type="dxa" w:w="60"/>
              <w:right w:type="dxa" w:w="100"/>
            </w:tcMar>
          </w:tcPr>
          <w:p>
            <w:pPr>
              <w:spacing w:after="0" w:before="0"/>
            </w:pPr>
            <w:r>
              <w:rPr>
                <w:b w:val="false"/>
                <w:bCs w:val="false"/>
                <w:i w:val="false"/>
                <w:iCs w:val="false"/>
              </w:rPr>
              <w:t xml:space="preserve">Confirms that each card is physically attached to its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7095"/>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7095"/>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7095"/>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with the card's barcode. At the affixing station the carrier's barcode is read and matched to the card, and the card is attached only on a match.</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and carrying a barcode of the card identifier,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its attachment checked,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Each card is read at the reading station and matched to the job record before its carrier is printed, and from then on the line tracks the card by its identifier through every station. The carrier is printed with a barcode of that identifier. At the affixing station the barcode is read and matched to the card: on a match the card is attached, and on a mismatch the card and its carrier are both rejected. The attachment is then checked, and nothing separates the card from its carrier after that point. Every step takes place in a single pass of the line.</w:t>
      </w:r>
    </w:p>
    <w:p>
      <w:pPr>
        <w:spacing w:after="140" w:line="276"/>
      </w:pPr>
      <w:r>
        <w:rPr>
          <w:b w:val="false"/>
          <w:bCs w:val="false"/>
          <w:i w:val="false"/>
          <w:iCs w:val="false"/>
        </w:rPr>
        <w:t xml:space="preserve">This catches the faults that arise inside the machine after correct data has been supplied, such as a carrier out of sequence, which would produce a mail piece whose contents do not match its address. No upstream system can see such a fault, because upstream the pairing was correct, so it is caught at the line, before the card is attached.</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pPr>
        <w:pStyle w:val="Heading1"/>
        <w:pageBreakBefore/>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drives the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and while a machine is being serviced, queued batches are directed to the other line.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pPr>
        <w:pStyle w:val="Heading1"/>
        <w:pageBreakBefore/>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pPr>
        <w:pStyle w:val="Heading1"/>
        <w:pageBreakBefore/>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13"/>
        <w:gridCol w:w="7007"/>
      </w:tblGrid>
      <w:tr>
        <w:trPr>
          <w:tblHeader/>
        </w:trPr>
        <w:tc>
          <w:tcPr>
            <w:tcW w:type="dxa" w:w="2013"/>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00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value read from the card, matched at affixing to the barcode on its carrier, which is what proves the pairing</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007"/>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7007"/>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affixing station matched the card to its carrier carries a record of that match,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pPr>
        <w:pStyle w:val="Heading1"/>
        <w:pageBreakBefore/>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a drive pool protected by RAID, which keeps the data available through the failure of a drive.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384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database virtual machine, which runs on one host and is restarted on the other if that host is lost,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384 GB of memory each. Application cluster with automated failover over the storage array, carrying the integration, application,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384 GB of memory each. Database cluster over the storage array, carrying the database virtual machine, which runs on one host and fails over to the other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a protected drive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Load balancers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of appliances, 10 Gbps, distributing application and administrative traffic across the two application servers, with health checks, behind one virtual address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1"/>
        <w:gridCol w:w="1450"/>
        <w:gridCol w:w="122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1"/>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29"/>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1"/>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1"/>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1"/>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1"/>
            <w:tcMar>
              <w:top w:type="dxa" w:w="60"/>
              <w:left w:type="dxa" w:w="100"/>
              <w:bottom w:type="dxa" w:w="60"/>
              <w:right w:type="dxa" w:w="100"/>
            </w:tcMar>
          </w:tcPr>
          <w:p>
            <w:pPr>
              <w:spacing w:after="0" w:before="0"/>
            </w:pPr>
            <w:r>
              <w:rPr>
                <w:b w:val="false"/>
                <w:bCs w:val="false"/>
                <w:i w:val="false"/>
                <w:iCs w:val="false"/>
              </w:rPr>
              <w:t xml:space="preserve">The production database, on one virtual machine of the database cluster, restarted on the other database host if its host is lost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1"/>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1"/>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1"/>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1"/>
            <w:tcMar>
              <w:top w:type="dxa" w:w="60"/>
              <w:left w:type="dxa" w:w="100"/>
              <w:bottom w:type="dxa" w:w="60"/>
              <w:right w:type="dxa" w:w="100"/>
            </w:tcMar>
          </w:tcPr>
          <w:p>
            <w:pPr>
              <w:spacing w:after="0" w:before="0"/>
            </w:pPr>
            <w:r>
              <w:rPr>
                <w:b w:val="false"/>
                <w:bCs w:val="false"/>
                <w:i w:val="false"/>
                <w:iCs w:val="false"/>
              </w:rPr>
              <w:t xml:space="preserve">The MDR / MSOC service on four virtual machines: three for the MSOC platform, with security information and event management, log aggregation and endpoint management for indexing, management and the dashboard, and one for MDR</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1"/>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by a high availability pair of load balancer appliances, and the cluster keeps the two instances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database virtual machine runs on the database cluster, so that it never contends with the application workload for processor, memory or storage paths. If its host is lost, the cluster restarts it on the other database host from the same disk image on the storage array.</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10 virtual machines: the secondary copy of the database, kept current by database replication; a domain controller, kept current by directory replication; and standby copies of the integration gateway, application server, management and backup server virtual machines, one of each, and of the four security monitoring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Load balancer</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Appliance, 10 Gbps, with the same virtual address as the primary pair, so that clients reach the application at this site without being reconfigured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fldSimple w:instr="REF sec_10_4 \w \h">
              <w:r>
                <w:t xml:space="preserve">10.4</w:t>
              </w:r>
            </w:fldSimple>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16 virtual machines: the 14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host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load balancers,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load balancer pair and 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virtual machine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87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8770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database virtual machine fails over between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edge switch, a host, a load balancer,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cluster restarts the database virtual machine on the other database host, from its disk image on the storage array,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The load balancer appliance at the secondary site carries the same virtual address as the primary pair, so clients reach the application there without being reconfigured.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4"/>
        <w:gridCol w:w="1120"/>
        <w:gridCol w:w="5976"/>
      </w:tblGrid>
      <w:tr>
        <w:trPr>
          <w:tblHeader/>
        </w:trPr>
        <w:tc>
          <w:tcPr>
            <w:tcW w:type="dxa" w:w="1924"/>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5976"/>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384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384 GB of memory each, redundant power, redundant paths to both controllers of the storage array with multipath, clustered, carrying the database virtual machine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a drive pool protected by RAID, encryption at rest, not less than 20 TB usable after RAID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384 GB of memory, redundant power, internal storage of not less than 20 TB usable after RAID, running the 10 virtual machines of the secondary environment at the Purchaser's disaster recovery data center</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5976"/>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Load balancers,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High availability pair of appliances, 10 Gbps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Load balancer,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Appliance, 10 Gbps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5976"/>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1924"/>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5976"/>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81"/>
        <w:gridCol w:w="5939"/>
      </w:tblGrid>
      <w:tr>
        <w:trPr>
          <w:tblHeader/>
        </w:trPr>
        <w:tc>
          <w:tcPr>
            <w:tcW w:type="dxa" w:w="308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939"/>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939"/>
            <w:tcMar>
              <w:top w:type="dxa" w:w="60"/>
              <w:left w:type="dxa" w:w="100"/>
              <w:bottom w:type="dxa" w:w="60"/>
              <w:right w:type="dxa" w:w="100"/>
            </w:tcMar>
          </w:tcPr>
          <w:p>
            <w:pPr>
              <w:spacing w:after="0" w:before="0"/>
            </w:pPr>
            <w:r>
              <w:rPr>
                <w:b w:val="false"/>
                <w:bCs w:val="false"/>
                <w:i w:val="false"/>
                <w:iCs w:val="false"/>
              </w:rPr>
              <w:t xml:space="preserve">All hosts, primary and secondary: Windows Server Datacenter on the application hosts and the secondary host, and Windows Server Standard on the database hosts. One platform provides both, with failover clustering of the application hosts and of the database hosts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939"/>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93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939"/>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939"/>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939"/>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939"/>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939"/>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939"/>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939"/>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939"/>
            <w:tcMar>
              <w:top w:type="dxa" w:w="60"/>
              <w:left w:type="dxa" w:w="100"/>
              <w:bottom w:type="dxa" w:w="60"/>
              <w:right w:type="dxa" w:w="100"/>
            </w:tcMar>
          </w:tcPr>
          <w:p>
            <w:pPr>
              <w:spacing w:after="0" w:before="0"/>
            </w:pPr>
            <w:r>
              <w:rPr>
                <w:b w:val="false"/>
                <w:bCs w:val="false"/>
                <w:i w:val="false"/>
                <w:iCs w:val="false"/>
              </w:rPr>
              <w:t xml:space="preserve">The storage array, all switches, all firewalls and all load balancers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939"/>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w:t>
            </w:r>
          </w:p>
        </w:tc>
        <w:tc>
          <w:tcPr>
            <w:tcW w:type="dxa" w:w="5939"/>
            <w:tcMar>
              <w:top w:type="dxa" w:w="60"/>
              <w:left w:type="dxa" w:w="100"/>
              <w:bottom w:type="dxa" w:w="60"/>
              <w:right w:type="dxa" w:w="100"/>
            </w:tcMar>
          </w:tcPr>
          <w:p>
            <w:pPr>
              <w:spacing w:after="0" w:before="0"/>
            </w:pPr>
            <w:r>
              <w:rPr>
                <w:b w:val="false"/>
                <w:bCs w:val="false"/>
                <w:i w:val="false"/>
                <w:iCs w:val="false"/>
              </w:rPr>
              <w:t xml:space="preserve">All infrastructure, application and security sources across the estate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939"/>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939"/>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pPr>
        <w:pStyle w:val="Heading1"/>
        <w:pageBreakBefore/>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pPr>
        <w:pStyle w:val="Heading1"/>
        <w:pageBreakBefore/>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load balancers,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pPr>
        <w:pStyle w:val="Heading1"/>
        <w:pageBreakBefore/>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pPr>
        <w:pStyle w:val="Heading1"/>
        <w:pageBreakBefore/>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pPr>
        <w:pStyle w:val="Heading1"/>
        <w:pageBreakBefore/>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684e3e2e122fc37edabc3836ef2293f32acc5b48.png"/><Relationship Id="rId13" Type="http://schemas.openxmlformats.org/officeDocument/2006/relationships/image" Target="media/895c0d4d99b5aec0ed41964f6f57ebf2f4682487.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67e58fd32b7f2601f26a92a95c60234fc1913c7e.png"/><Relationship Id="rId18" Type="http://schemas.openxmlformats.org/officeDocument/2006/relationships/image" Target="media/dc625aaa42078411a061814dcd9b0dd6a39908e5.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2026-10-12T12:57:05.032Z</dcterms:created>
  <dcterms:modified xsi:type="dcterms:W3CDTF">2026-10-12T12:57:05.032Z</dcterms:modified>
</cp:coreProperties>
</file>

<file path=docProps/custom.xml><?xml version="1.0" encoding="utf-8"?>
<Properties xmlns="http://schemas.openxmlformats.org/officeDocument/2006/custom-properties" xmlns:vt="http://schemas.openxmlformats.org/officeDocument/2006/docPropsVTypes"/>
</file>