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322"/>
        <w:gridCol w:w="346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322"/>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468"/>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468"/>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468"/>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taking a laser station out of service between runs; assisting calibration</w:t>
            </w:r>
          </w:p>
        </w:tc>
        <w:tc>
          <w:tcPr>
            <w:tcW w:type="dxa" w:w="3468"/>
            <w:tcMar>
              <w:top w:type="dxa" w:w="60"/>
              <w:left w:type="dxa" w:w="100"/>
              <w:bottom w:type="dxa" w:w="60"/>
              <w:right w:type="dxa" w:w="100"/>
            </w:tcMar>
          </w:tcPr>
          <w:p>
            <w:pPr>
              <w:spacing w:after="0" w:before="0"/>
            </w:pPr>
            <w:r>
              <w:rPr>
                <w:b w:val="false"/>
                <w:bCs w:val="false"/>
                <w:i w:val="false"/>
                <w:iCs w:val="false"/>
              </w:rPr>
              <w:t xml:space="preserve">Take a station out of service at the end of a run, restart production with the job settings for the remaining stations, and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468"/>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42"/>
        <w:gridCol w:w="6578"/>
      </w:tblGrid>
      <w:tr>
        <w:trPr>
          <w:tblHeader/>
        </w:trPr>
        <w:tc>
          <w:tcPr>
            <w:tcW w:type="dxa" w:w="244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57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57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57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578"/>
            <w:tcMar>
              <w:top w:type="dxa" w:w="60"/>
              <w:left w:type="dxa" w:w="100"/>
              <w:bottom w:type="dxa" w:w="60"/>
              <w:right w:type="dxa" w:w="100"/>
            </w:tcMar>
          </w:tcPr>
          <w:p>
            <w:pPr>
              <w:spacing w:after="0" w:before="0"/>
            </w:pPr>
            <w:r>
              <w:rPr>
                <w:b w:val="false"/>
                <w:bCs w:val="false"/>
                <w:i w:val="false"/>
                <w:iCs w:val="false"/>
              </w:rPr>
              <w:t xml:space="preserve">The run is concluded, production resumes on the remaining stations or on the other line, and the event is reported to the supervisor</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57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57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57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57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The five stations, two for each face and one for the CLI. A station for one face is switched off and taken out of operation at the end of a run, and production resumes on the remaining stations once the job settings are reconfigured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76"/>
        <w:gridCol w:w="3528"/>
        <w:gridCol w:w="2616"/>
      </w:tblGrid>
      <w:tr>
        <w:trPr>
          <w:tblHeader/>
        </w:trPr>
        <w:tc>
          <w:tcPr>
            <w:tcW w:type="dxa" w:w="2876"/>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28"/>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16"/>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filtering system, feeders and card transport</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16"/>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28"/>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the filtering system,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the load balancers,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Software, subscriptions and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2911"/>
        <w:gridCol w:w="2659"/>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911"/>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65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144 core licenses: the 2 application hosts at the primary site and the host at the secondary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those hosts, failover clustering of the application hosts, and every Windows Server virtual machine they run, including the domain controllers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96 core licenses: the 2 database hosts at the primary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the database hosts, failover clustering of the database hosts, and the database virtual machine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server, with client access licenses, and Software Assurance</w:t>
            </w:r>
          </w:p>
        </w:tc>
        <w:tc>
          <w:tcPr>
            <w:tcW w:type="dxa" w:w="2911"/>
            <w:tcMar>
              <w:top w:type="dxa" w:w="60"/>
              <w:left w:type="dxa" w:w="100"/>
              <w:bottom w:type="dxa" w:w="60"/>
              <w:right w:type="dxa" w:w="100"/>
            </w:tcMar>
          </w:tcPr>
          <w:p>
            <w:pPr>
              <w:spacing w:after="0" w:before="0"/>
            </w:pPr>
            <w:r>
              <w:rPr>
                <w:b w:val="false"/>
                <w:bCs w:val="false"/>
                <w:i w:val="false"/>
                <w:iCs w:val="false"/>
              </w:rPr>
              <w:t xml:space="preserve">One server license for the database virtual machine, with 120 client access licenses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production database. The secondary copy at the secondary site is covered by the failover rights of Software Assurance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670"/>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911"/>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265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911"/>
            <w:tcMar>
              <w:top w:type="dxa" w:w="60"/>
              <w:left w:type="dxa" w:w="100"/>
              <w:bottom w:type="dxa" w:w="60"/>
              <w:right w:type="dxa" w:w="100"/>
            </w:tcMar>
          </w:tcPr>
          <w:p>
            <w:pPr>
              <w:spacing w:after="0" w:before="0"/>
            </w:pPr>
            <w:r>
              <w:rPr>
                <w:b w:val="false"/>
                <w:bCs w:val="false"/>
                <w:i w:val="false"/>
                <w:iCs w:val="false"/>
              </w:rPr>
              <w:t xml:space="preserve">10</w:t>
            </w:r>
          </w:p>
        </w:tc>
        <w:tc>
          <w:tcPr>
            <w:tcW w:type="dxa" w:w="265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2911"/>
            <w:tcMar>
              <w:top w:type="dxa" w:w="60"/>
              <w:left w:type="dxa" w:w="100"/>
              <w:bottom w:type="dxa" w:w="60"/>
              <w:right w:type="dxa" w:w="100"/>
            </w:tcMar>
          </w:tcPr>
          <w:p>
            <w:pPr>
              <w:spacing w:after="0" w:before="0"/>
            </w:pPr>
            <w:r>
              <w:rPr>
                <w:b w:val="false"/>
                <w:bCs w:val="false"/>
                <w:i w:val="false"/>
                <w:iCs w:val="false"/>
              </w:rPr>
              <w:t xml:space="preserve">33: the 5 hosts; 18 virtual machines, being the 14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659"/>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659"/>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659"/>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2911"/>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1670"/>
            <w:tcMar>
              <w:top w:type="dxa" w:w="60"/>
              <w:left w:type="dxa" w:w="100"/>
              <w:bottom w:type="dxa" w:w="60"/>
              <w:right w:type="dxa" w:w="100"/>
            </w:tcMar>
          </w:tcPr>
          <w:p>
            <w:pPr>
              <w:spacing w:after="0" w:before="0"/>
            </w:pPr>
            <w:r>
              <w:rPr>
                <w:b w:val="false"/>
                <w:bCs w:val="false"/>
                <w:i w:val="false"/>
                <w:iCs w:val="false"/>
              </w:rPr>
              <w:t xml:space="preserve">Subscription, by monitored node and event volume</w:t>
            </w:r>
          </w:p>
        </w:tc>
        <w:tc>
          <w:tcPr>
            <w:tcW w:type="dxa" w:w="2911"/>
            <w:tcMar>
              <w:top w:type="dxa" w:w="60"/>
              <w:left w:type="dxa" w:w="100"/>
              <w:bottom w:type="dxa" w:w="60"/>
              <w:right w:type="dxa" w:w="100"/>
            </w:tcMar>
          </w:tcPr>
          <w:p>
            <w:pPr>
              <w:spacing w:after="0" w:before="0"/>
            </w:pPr>
            <w:r>
              <w:rPr>
                <w:b w:val="false"/>
                <w:bCs w:val="false"/>
                <w:i w:val="false"/>
                <w:iCs w:val="false"/>
              </w:rPr>
              <w:t xml:space="preserve">All infrastructure and application sources, and the full event volume of the estate</w:t>
            </w:r>
          </w:p>
        </w:tc>
        <w:tc>
          <w:tcPr>
            <w:tcW w:type="dxa" w:w="2659"/>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 and the collection and correlation of security events across all sources for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659"/>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instance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30 instances, covering the protected virtual machines at both sites, with configuration and audit logs, replicated to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67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storage array, 5 switches, 2 firewalls and 2 load balancers at the primary site, and 1 switch, 1 firewall and 1 load balancer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2911"/>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val="false"/>
          <w:bCs w:val="false"/>
          <w:i w:val="false"/>
          <w:iCs w:val="false"/>
        </w:rPr>
        <w:t xml:space="preserve">The application hosts and the secondary host carry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and the secondary host runs the ten virtual machines of the secondary environment. The database hosts carry Windows Server Standard, which licenses two Windows Server virtual machines on each fully licensed host, more than the one database virtual machine either host runs.</w:t>
      </w: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0"/>
        <w:gridCol w:w="5950"/>
      </w:tblGrid>
      <w:tr>
        <w:trPr>
          <w:tblHeader/>
        </w:trPr>
        <w:tc>
          <w:tcPr>
            <w:tcW w:type="dxa" w:w="3070"/>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50"/>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50"/>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(MDR / MSOC), bulk SMS service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multi-factor authentication, privileged access management</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5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 endpoint detection and response, vulnerability scanning</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5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Clustered database at the primary site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Standard, SQL Server Standard</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50"/>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6"/>
        <w:gridCol w:w="6214"/>
      </w:tblGrid>
      <w:tr>
        <w:trPr>
          <w:tblHeader/>
        </w:trPr>
        <w:tc>
          <w:tcPr>
            <w:tcW w:type="dxa" w:w="2806"/>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14"/>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Windows Server Datacenter and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server license and 120 client access licenses, with Software Assurance for three years, providing updates, license mobility between the database hosts, and failover rights for the secondary copy</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Subscriptions: MDR / MSOC, security, operations, firewall, storage array and network device support, and the bulk SMS service</w:t>
            </w:r>
          </w:p>
        </w:tc>
        <w:tc>
          <w:tcPr>
            <w:tcW w:type="dxa" w:w="6214"/>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2026-10-12T12:57:08.540Z</dcterms:created>
  <dcterms:modified xsi:type="dcterms:W3CDTF">2026-10-12T12:57:08.540Z</dcterms:modified>
</cp:coreProperties>
</file>

<file path=docProps/custom.xml><?xml version="1.0" encoding="utf-8"?>
<Properties xmlns="http://schemas.openxmlformats.org/officeDocument/2006/custom-properties" xmlns:vt="http://schemas.openxmlformats.org/officeDocument/2006/docPropsVTypes"/>
</file>