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Technical Responsiveness Checklist</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Functional, Architectural and Performance Requirements</w:t>
              <w:tab/>
              <w:t xml:space="default">2</w:t>
            </w:r>
          </w:hyperlink>
        </w:p>
        <w:p>
          <w:pPr>
            <w:pStyle w:val="TOC2"/>
            <w:tabs>
              <w:tab w:val="clear" w:pos="8786"/>
              <w:tab w:val="right" w:pos="9025" w:leader="dot"/>
            </w:tabs>
          </w:pPr>
          <w:hyperlink w:history="1" w:anchor="sec_1_1">
            <w:r>
              <w:rPr>
                <w:rStyle w:val="IndexLink"/>
              </w:rPr>
              <w:t xml:space="default">1.1 Legal and regulatory requirements</w:t>
              <w:tab/>
              <w:t xml:space="default">2</w:t>
            </w:r>
          </w:hyperlink>
        </w:p>
        <w:p>
          <w:pPr>
            <w:pStyle w:val="TOC2"/>
            <w:tabs>
              <w:tab w:val="clear" w:pos="8786"/>
              <w:tab w:val="right" w:pos="9025" w:leader="dot"/>
            </w:tabs>
          </w:pPr>
          <w:hyperlink w:history="1" w:anchor="sec_1_2">
            <w:r>
              <w:rPr>
                <w:rStyle w:val="IndexLink"/>
              </w:rPr>
              <w:t xml:space="default">1.2 Business function requirements</w:t>
              <w:tab/>
              <w:t xml:space="default">3</w:t>
            </w:r>
          </w:hyperlink>
        </w:p>
        <w:p>
          <w:pPr>
            <w:pStyle w:val="TOC2"/>
            <w:tabs>
              <w:tab w:val="clear" w:pos="8786"/>
              <w:tab w:val="right" w:pos="9025" w:leader="dot"/>
            </w:tabs>
          </w:pPr>
          <w:hyperlink w:history="1" w:anchor="sec_1_3">
            <w:r>
              <w:rPr>
                <w:rStyle w:val="IndexLink"/>
              </w:rPr>
              <w:t xml:space="default">1.3 Architectural requirements</w:t>
              <w:tab/>
              <w:t xml:space="default">5</w:t>
            </w:r>
          </w:hyperlink>
        </w:p>
        <w:p>
          <w:pPr>
            <w:pStyle w:val="TOC2"/>
            <w:tabs>
              <w:tab w:val="clear" w:pos="8786"/>
              <w:tab w:val="right" w:pos="9025" w:leader="dot"/>
            </w:tabs>
          </w:pPr>
          <w:hyperlink w:history="1" w:anchor="sec_1_4">
            <w:r>
              <w:rPr>
                <w:rStyle w:val="IndexLink"/>
              </w:rPr>
              <w:t xml:space="default">1.4 Systems administration and management functions</w:t>
              <w:tab/>
              <w:t xml:space="default">10</w:t>
            </w:r>
          </w:hyperlink>
        </w:p>
        <w:p>
          <w:pPr>
            <w:pStyle w:val="TOC2"/>
            <w:tabs>
              <w:tab w:val="clear" w:pos="8786"/>
              <w:tab w:val="right" w:pos="9025" w:leader="dot"/>
            </w:tabs>
          </w:pPr>
          <w:hyperlink w:history="1" w:anchor="sec_1_5">
            <w:r>
              <w:rPr>
                <w:rStyle w:val="IndexLink"/>
              </w:rPr>
              <w:t xml:space="default">1.5 Performance requirements</w:t>
              <w:tab/>
              <w:t xml:space="default">12</w:t>
            </w:r>
          </w:hyperlink>
        </w:p>
        <w:p>
          <w:pPr>
            <w:pStyle w:val="TOC2"/>
            <w:tabs>
              <w:tab w:val="clear" w:pos="8786"/>
              <w:tab w:val="right" w:pos="9025" w:leader="dot"/>
            </w:tabs>
          </w:pPr>
          <w:hyperlink w:history="1" w:anchor="sec_1_6">
            <w:r>
              <w:rPr>
                <w:rStyle w:val="IndexLink"/>
              </w:rPr>
              <w:t xml:space="default">1.6 Cyber security</w:t>
              <w:tab/>
              <w:t xml:space="default">16</w:t>
            </w:r>
          </w:hyperlink>
        </w:p>
        <w:p>
          <w:pPr>
            <w:pStyle w:val="TOC1"/>
            <w:tabs>
              <w:tab w:val="clear" w:pos="9026"/>
              <w:tab w:val="right" w:pos="9025" w:leader="dot"/>
            </w:tabs>
          </w:pPr>
          <w:hyperlink w:history="1" w:anchor="sec_2">
            <w:r>
              <w:rPr>
                <w:rStyle w:val="IndexLink"/>
              </w:rPr>
              <w:t xml:space="default">2. Service Specifications, Supply and Install Items</w:t>
              <w:tab/>
              <w:t xml:space="default">20</w:t>
            </w:r>
          </w:hyperlink>
        </w:p>
        <w:p>
          <w:pPr>
            <w:pStyle w:val="TOC2"/>
            <w:tabs>
              <w:tab w:val="clear" w:pos="8786"/>
              <w:tab w:val="right" w:pos="9025" w:leader="dot"/>
            </w:tabs>
          </w:pPr>
          <w:hyperlink w:history="1" w:anchor="sec_2_1">
            <w:r>
              <w:rPr>
                <w:rStyle w:val="IndexLink"/>
              </w:rPr>
              <w:t xml:space="default">2.1 System integration</w:t>
              <w:tab/>
              <w:t xml:space="default">20</w:t>
            </w:r>
          </w:hyperlink>
        </w:p>
        <w:p>
          <w:pPr>
            <w:pStyle w:val="TOC2"/>
            <w:tabs>
              <w:tab w:val="clear" w:pos="8786"/>
              <w:tab w:val="right" w:pos="9025" w:leader="dot"/>
            </w:tabs>
          </w:pPr>
          <w:hyperlink w:history="1" w:anchor="sec_2_2">
            <w:r>
              <w:rPr>
                <w:rStyle w:val="IndexLink"/>
              </w:rPr>
              <w:t xml:space="default">2.2 Training and training materials</w:t>
              <w:tab/>
              <w:t xml:space="default">24</w:t>
            </w:r>
          </w:hyperlink>
        </w:p>
        <w:p>
          <w:pPr>
            <w:pStyle w:val="TOC2"/>
            <w:tabs>
              <w:tab w:val="clear" w:pos="8786"/>
              <w:tab w:val="right" w:pos="9025" w:leader="dot"/>
            </w:tabs>
          </w:pPr>
          <w:hyperlink w:history="1" w:anchor="sec_2_3">
            <w:r>
              <w:rPr>
                <w:rStyle w:val="IndexLink"/>
              </w:rPr>
              <w:t xml:space="default">2.3 Documentation requirements</w:t>
              <w:tab/>
              <w:t xml:space="default">27</w:t>
            </w:r>
          </w:hyperlink>
        </w:p>
        <w:p>
          <w:pPr>
            <w:pStyle w:val="TOC2"/>
            <w:tabs>
              <w:tab w:val="clear" w:pos="8786"/>
              <w:tab w:val="right" w:pos="9025" w:leader="dot"/>
            </w:tabs>
          </w:pPr>
          <w:hyperlink w:history="1" w:anchor="sec_2_4">
            <w:r>
              <w:rPr>
                <w:rStyle w:val="IndexLink"/>
              </w:rPr>
              <w:t xml:space="default">2.4 Requirements of the Supplier's technical team</w:t>
              <w:tab/>
              <w:t xml:space="default">30</w:t>
            </w:r>
          </w:hyperlink>
        </w:p>
        <w:p>
          <w:pPr>
            <w:pStyle w:val="TOC1"/>
            <w:tabs>
              <w:tab w:val="clear" w:pos="9026"/>
              <w:tab w:val="right" w:pos="9025" w:leader="dot"/>
            </w:tabs>
          </w:pPr>
          <w:hyperlink w:history="1" w:anchor="sec_3">
            <w:r>
              <w:rPr>
                <w:rStyle w:val="IndexLink"/>
              </w:rPr>
              <w:t xml:space="default">3. Technology Specifications, Supply and Install Items</w:t>
              <w:tab/>
              <w:t xml:space="default">34</w:t>
            </w:r>
          </w:hyperlink>
        </w:p>
        <w:p>
          <w:pPr>
            <w:pStyle w:val="TOC2"/>
            <w:tabs>
              <w:tab w:val="clear" w:pos="8786"/>
              <w:tab w:val="right" w:pos="9025" w:leader="dot"/>
            </w:tabs>
          </w:pPr>
          <w:hyperlink w:history="1" w:anchor="sec_3_1">
            <w:r>
              <w:rPr>
                <w:rStyle w:val="IndexLink"/>
              </w:rPr>
              <w:t xml:space="default">3.1 Automatic modular laser personalization systems</w:t>
              <w:tab/>
              <w:t xml:space="default">35</w:t>
            </w:r>
          </w:hyperlink>
        </w:p>
        <w:p>
          <w:pPr>
            <w:pStyle w:val="TOC2"/>
            <w:tabs>
              <w:tab w:val="clear" w:pos="8786"/>
              <w:tab w:val="right" w:pos="9025" w:leader="dot"/>
            </w:tabs>
          </w:pPr>
          <w:hyperlink w:history="1" w:anchor="sec_3_2">
            <w:r>
              <w:rPr>
                <w:rStyle w:val="IndexLink"/>
              </w:rPr>
              <w:t xml:space="default">3.2 Personalization laser features</w:t>
              <w:tab/>
              <w:t xml:space="default">37</w:t>
            </w:r>
          </w:hyperlink>
        </w:p>
        <w:p>
          <w:pPr>
            <w:pStyle w:val="TOC2"/>
            <w:tabs>
              <w:tab w:val="clear" w:pos="8786"/>
              <w:tab w:val="right" w:pos="9025" w:leader="dot"/>
            </w:tabs>
          </w:pPr>
          <w:hyperlink w:history="1" w:anchor="sec_3_3">
            <w:r>
              <w:rPr>
                <w:rStyle w:val="IndexLink"/>
              </w:rPr>
              <w:t xml:space="default">3.3 Automated mailing and dispatch systems</w:t>
              <w:tab/>
              <w:t xml:space="default">39</w:t>
            </w:r>
          </w:hyperlink>
        </w:p>
        <w:p>
          <w:pPr>
            <w:pStyle w:val="TOC2"/>
            <w:tabs>
              <w:tab w:val="clear" w:pos="8786"/>
              <w:tab w:val="right" w:pos="9025" w:leader="dot"/>
            </w:tabs>
          </w:pPr>
          <w:hyperlink w:history="1" w:anchor="sec_3_4">
            <w:r>
              <w:rPr>
                <w:rStyle w:val="IndexLink"/>
              </w:rPr>
              <w:t xml:space="default">3.4 Polycarbonate cards</w:t>
              <w:tab/>
              <w:t xml:space="default">41</w:t>
            </w:r>
          </w:hyperlink>
        </w:p>
        <w:p>
          <w:pPr>
            <w:pStyle w:val="TOC2"/>
            <w:tabs>
              <w:tab w:val="clear" w:pos="8786"/>
              <w:tab w:val="right" w:pos="9025" w:leader="dot"/>
            </w:tabs>
          </w:pPr>
          <w:hyperlink w:history="1" w:anchor="sec_3_5">
            <w:r>
              <w:rPr>
                <w:rStyle w:val="IndexLink"/>
              </w:rPr>
              <w:t xml:space="default">3.5 Renovation of premises</w:t>
              <w:tab/>
              <w:t xml:space="default">42</w:t>
            </w:r>
          </w:hyperlink>
        </w:p>
        <w:p>
          <w:pPr>
            <w:pStyle w:val="TOC1"/>
            <w:tabs>
              <w:tab w:val="clear" w:pos="9026"/>
              <w:tab w:val="right" w:pos="9025" w:leader="dot"/>
            </w:tabs>
          </w:pPr>
          <w:hyperlink w:history="1" w:anchor="sec_4">
            <w:r>
              <w:rPr>
                <w:rStyle w:val="IndexLink"/>
              </w:rPr>
              <w:t xml:space="default">4. Testing and Quality Assurance Requirements</w:t>
              <w:tab/>
              <w:t xml:space="default">48</w:t>
            </w:r>
          </w:hyperlink>
        </w:p>
        <w:p>
          <w:pPr>
            <w:pStyle w:val="TOC2"/>
            <w:tabs>
              <w:tab w:val="clear" w:pos="8786"/>
              <w:tab w:val="right" w:pos="9025" w:leader="dot"/>
            </w:tabs>
          </w:pPr>
          <w:hyperlink w:history="1" w:anchor="sec_4_1">
            <w:r>
              <w:rPr>
                <w:rStyle w:val="IndexLink"/>
              </w:rPr>
              <w:t xml:space="default">4.1 Inspections</w:t>
              <w:tab/>
              <w:t xml:space="default">48</w:t>
            </w:r>
          </w:hyperlink>
        </w:p>
        <w:p>
          <w:pPr>
            <w:pStyle w:val="TOC2"/>
            <w:tabs>
              <w:tab w:val="clear" w:pos="8786"/>
              <w:tab w:val="right" w:pos="9025" w:leader="dot"/>
            </w:tabs>
          </w:pPr>
          <w:hyperlink w:history="1" w:anchor="sec_4_2">
            <w:r>
              <w:rPr>
                <w:rStyle w:val="IndexLink"/>
              </w:rPr>
              <w:t xml:space="default">4.2 Pre-commissioning tests</w:t>
              <w:tab/>
              <w:t xml:space="default">48</w:t>
            </w:r>
          </w:hyperlink>
        </w:p>
        <w:p>
          <w:pPr>
            <w:pStyle w:val="TOC2"/>
            <w:tabs>
              <w:tab w:val="clear" w:pos="8786"/>
              <w:tab w:val="right" w:pos="9025" w:leader="dot"/>
            </w:tabs>
          </w:pPr>
          <w:hyperlink w:history="1" w:anchor="sec_4_3">
            <w:r>
              <w:rPr>
                <w:rStyle w:val="IndexLink"/>
              </w:rPr>
              <w:t xml:space="default">4.3 Operational acceptance tests</w:t>
              <w:tab/>
              <w:t xml:space="default">52</w:t>
            </w:r>
          </w:hyperlink>
        </w:p>
        <w:p>
          <w:pPr>
            <w:pStyle w:val="TOC1"/>
            <w:tabs>
              <w:tab w:val="clear" w:pos="9026"/>
              <w:tab w:val="right" w:pos="9025" w:leader="dot"/>
            </w:tabs>
          </w:pPr>
          <w:hyperlink w:history="1" w:anchor="sec_5">
            <w:r>
              <w:rPr>
                <w:rStyle w:val="IndexLink"/>
              </w:rPr>
              <w:t xml:space="default">5. Service Specifications, Recurrent Cost Items</w:t>
              <w:tab/>
              <w:t xml:space="default">57</w:t>
            </w:r>
          </w:hyperlink>
        </w:p>
        <w:p>
          <w:pPr>
            <w:pStyle w:val="TOC2"/>
            <w:tabs>
              <w:tab w:val="clear" w:pos="8786"/>
              <w:tab w:val="right" w:pos="9025" w:leader="dot"/>
            </w:tabs>
          </w:pPr>
          <w:hyperlink w:history="1" w:anchor="sec_5_1">
            <w:r>
              <w:rPr>
                <w:rStyle w:val="IndexLink"/>
              </w:rPr>
              <w:t xml:space="default">5.1 Warranty defect repair</w:t>
              <w:tab/>
              <w:t xml:space="default">57</w:t>
            </w:r>
          </w:hyperlink>
        </w:p>
        <w:p>
          <w:pPr>
            <w:pStyle w:val="TOC2"/>
            <w:tabs>
              <w:tab w:val="clear" w:pos="8786"/>
              <w:tab w:val="right" w:pos="9025" w:leader="dot"/>
            </w:tabs>
          </w:pPr>
          <w:hyperlink w:history="1" w:anchor="sec_5_2">
            <w:r>
              <w:rPr>
                <w:rStyle w:val="IndexLink"/>
              </w:rPr>
              <w:t xml:space="default">5.2 Technical support</w:t>
              <w:tab/>
              <w:t xml:space="default">57</w:t>
            </w:r>
          </w:hyperlink>
        </w:p>
        <w:p>
          <w:pPr>
            <w:pStyle w:val="TOC2"/>
            <w:tabs>
              <w:tab w:val="clear" w:pos="8786"/>
              <w:tab w:val="right" w:pos="9025" w:leader="dot"/>
            </w:tabs>
          </w:pPr>
          <w:hyperlink w:history="1" w:anchor="sec_5_3">
            <w:r>
              <w:rPr>
                <w:rStyle w:val="IndexLink"/>
              </w:rPr>
              <w:t xml:space="default">5.3 Requirements of the Supplier's technical team</w:t>
              <w:tab/>
              <w:t xml:space="default">58</w:t>
            </w:r>
          </w:hyperlink>
          <w:r>
            <w:fldChar w:fldCharType="end"/>
          </w:r>
        </w:p>
      </w:sdtContent>
    </w:sdt>
    <w:p>
      <w:pPr>
        <w:pStyle w:val="Heading1"/>
        <w:pageBreakBefore/>
        <w:numPr>
          <w:ilvl w:val="0"/>
          <w:numId w:val="2"/>
        </w:numPr>
        <w:spacing w:after="140" w:before="240"/>
      </w:pPr>
      <w:r>
        <w:t xml:space="preserve">F</w:t>
      </w:r>
      <w:bookmarkStart w:name="sec_1" w:id="1"/>
      <w:r>
        <w:rPr>
          <w:b w:val="false"/>
          <w:bCs w:val="false"/>
          <w:i w:val="false"/>
          <w:iCs w:val="false"/>
        </w:rPr>
        <w:t xml:space="preserve">unctional, Architectural and Performance Requirements</w:t>
      </w:r>
      <w:bookmarkEnd w:id="1"/>
    </w:p>
    <w:p>
      <w:pPr>
        <w:spacing w:after="140" w:line="276"/>
      </w:pPr>
      <w:r>
        <w:rPr>
          <w:b/>
          <w:bCs/>
          <w:i w:val="false"/>
          <w:iCs w:val="false"/>
        </w:rPr>
        <w:t xml:space="preserve">How to read this checklist.</w:t>
      </w:r>
      <w:r>
        <w:rPr>
          <w:b w:val="false"/>
          <w:bCs w:val="false"/>
          <w:i w:val="false"/>
          <w:iCs w:val="false"/>
        </w:rPr>
        <w:t xml:space="preserve"> This is the item-by-item commentary on the Technical Requirements required by ITP 16.2(c), in the Technical Responsiveness Checklist format of Section IV. Its sections follow the numbering of Section VII. For each requirement it gives the Section VII clause and a short description, the technical reasons supporting compliance, and cross-references to the supporting information in the System Architecture, the Preliminary Project Plan, the Cybersecurity Risk Management Plan, the Change Management Plan and the attachments.</w:t>
      </w:r>
    </w:p>
    <w:p>
      <w:pPr>
        <w:pStyle w:val="Heading2"/>
        <w:numPr>
          <w:ilvl w:val="1"/>
          <w:numId w:val="2"/>
        </w:numPr>
        <w:spacing w:after="140" w:before="260"/>
      </w:pPr>
      <w:r>
        <w:t xml:space="preserve">L</w:t>
      </w:r>
      <w:bookmarkStart w:name="sec_1_1" w:id="1"/>
      <w:r>
        <w:rPr>
          <w:b w:val="false"/>
          <w:bCs w:val="false"/>
          <w:i w:val="false"/>
          <w:iCs w:val="false"/>
        </w:rPr>
        <w:t xml:space="preserve">egal and regulatory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5240"/>
        <w:gridCol w:w="200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24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780"/>
            <w:tcMar>
              <w:top w:type="dxa" w:w="60"/>
              <w:left w:type="dxa" w:w="100"/>
              <w:bottom w:type="dxa" w:w="60"/>
              <w:right w:type="dxa" w:w="100"/>
            </w:tcMar>
          </w:tcPr>
          <w:p>
            <w:pPr>
              <w:spacing w:after="0" w:before="0"/>
            </w:pPr>
            <w:r>
              <w:rPr>
                <w:b/>
                <w:bCs/>
                <w:i w:val="false"/>
                <w:iCs w:val="false"/>
              </w:rPr>
              <w:t xml:space="preserve">1.1.1.1</w:t>
            </w:r>
            <w:r>
              <w:rPr>
                <w:b w:val="false"/>
                <w:bCs w:val="false"/>
                <w:i w:val="false"/>
                <w:iCs w:val="false"/>
              </w:rPr>
              <w:t xml:space="preserve"> System must comply with the Data Protection Act, 2024.</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System applies the Act's principles by design: minimization and purpose limitation, AES-256 at rest, TLS 1.2 or higher in transit, masked data outside production and support for Privacy Impact Assessment. As clarified in the Responses to Queries 003, NRB is data controller, citizen data stays in Malawi, and only production and audit data is retained.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Cybersecurity-Risk-Management-Plan.docx&quot; \l &quot;sec_11_1&quot;">
              <w:r>
                <w:rPr>
                  <w:rStyle w:val="Hyperlink"/>
                  <w:b w:val="false"/>
                  <w:bCs w:val="false"/>
                  <w:i w:val="false"/>
                  <w:iCs w:val="false"/>
                </w:rPr>
                <w:t xml:space="preserve">11.1</w:t>
              </w:r>
            </w:fldSimple>
          </w:p>
        </w:tc>
      </w:tr>
      <w:tr>
        <w:tc>
          <w:tcPr>
            <w:tcW w:type="dxa" w:w="1780"/>
            <w:tcMar>
              <w:top w:type="dxa" w:w="60"/>
              <w:left w:type="dxa" w:w="100"/>
              <w:bottom w:type="dxa" w:w="60"/>
              <w:right w:type="dxa" w:w="100"/>
            </w:tcMar>
          </w:tcPr>
          <w:p>
            <w:pPr>
              <w:spacing w:after="0" w:before="0"/>
            </w:pPr>
            <w:r>
              <w:rPr>
                <w:b/>
                <w:bCs/>
                <w:i w:val="false"/>
                <w:iCs w:val="false"/>
              </w:rPr>
              <w:t xml:space="preserve">1.1.1.2</w:t>
            </w:r>
            <w:r>
              <w:rPr>
                <w:b w:val="false"/>
                <w:bCs w:val="false"/>
                <w:i w:val="false"/>
                <w:iCs w:val="false"/>
              </w:rPr>
              <w:t xml:space="preserve"> System must comply with the Communications Act of 2016.</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External communications use services provisioned by others: wide area and internet connectivity over the Malawi Government Wide Area Network, provisioned by NRB and e-Government, and alert SMS through a bulk SMS provider in Malawi. All active equipment meets FCC Class B or EN 55022 and EN 50082-1 emission limits. [CONFIRM: The proposal documents give only a general compliance statement (</w:t>
            </w:r>
            <w:r>
              <w:rPr>
                <w:b w:val="false"/>
                <w:bCs w:val="false"/>
                <w:i w:val="false"/>
                <w:iCs w:val="false"/>
              </w:rPr>
              <w:t xml:space="preserve">System Architecture Section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Inkript to confirm whether MACRA type approval is needed for the imported network and production equipment, that the bulk SMS provider is licensed, and that EMC certificate copies are attached for every machine (Document Register item 1.6). The MS1000 datasheet lists no certifications.]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r>
              <w:rPr>
                <w:b w:val="false"/>
                <w:bCs w:val="false"/>
                <w:i w:val="false"/>
                <w:iCs w:val="false"/>
              </w:rPr>
              <w:t xml:space="preserve">; Attachment: EMC certificates</w:t>
            </w:r>
          </w:p>
        </w:tc>
      </w:tr>
      <w:tr>
        <w:tc>
          <w:tcPr>
            <w:tcW w:type="dxa" w:w="1780"/>
            <w:tcMar>
              <w:top w:type="dxa" w:w="60"/>
              <w:left w:type="dxa" w:w="100"/>
              <w:bottom w:type="dxa" w:w="60"/>
              <w:right w:type="dxa" w:w="100"/>
            </w:tcMar>
          </w:tcPr>
          <w:p>
            <w:pPr>
              <w:spacing w:after="0" w:before="0"/>
            </w:pPr>
            <w:r>
              <w:rPr>
                <w:b/>
                <w:bCs/>
                <w:i w:val="false"/>
                <w:iCs w:val="false"/>
              </w:rPr>
              <w:t xml:space="preserve">1.1.1.3</w:t>
            </w:r>
            <w:r>
              <w:rPr>
                <w:b w:val="false"/>
                <w:bCs w:val="false"/>
                <w:i w:val="false"/>
                <w:iCs w:val="false"/>
              </w:rPr>
              <w:t xml:space="preserve"> System must comply with the Electronic Transactions and Cybersecurity Act of 2016.</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QR payload on each card is digitally signed in FIPS 140-2 or FIPS 140-3 validated HSMs with X.509 certificates from the Government PKI. Security is managed to ISO/IEC 27001 and NIST CSF 2.0, with a Security Operations Center, and cyber incidents are reported to the Purchaser in writing within 24 hours.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Cybersecurity-Risk-Management-Plan.docx&quot; \l &quot;sec_11_1&quot;">
              <w:r>
                <w:rPr>
                  <w:rStyle w:val="Hyperlink"/>
                  <w:b w:val="false"/>
                  <w:bCs w:val="false"/>
                  <w:i w:val="false"/>
                  <w:iCs w:val="false"/>
                </w:rPr>
                <w:t xml:space="preserve">11.1</w:t>
              </w:r>
            </w:fldSimple>
          </w:p>
        </w:tc>
      </w:tr>
      <w:tr>
        <w:tc>
          <w:tcPr>
            <w:tcW w:type="dxa" w:w="1780"/>
            <w:tcMar>
              <w:top w:type="dxa" w:w="60"/>
              <w:left w:type="dxa" w:w="100"/>
              <w:bottom w:type="dxa" w:w="60"/>
              <w:right w:type="dxa" w:w="100"/>
            </w:tcMar>
          </w:tcPr>
          <w:p>
            <w:pPr>
              <w:spacing w:after="0" w:before="0"/>
            </w:pPr>
            <w:r>
              <w:rPr>
                <w:b/>
                <w:bCs/>
                <w:i w:val="false"/>
                <w:iCs w:val="false"/>
              </w:rPr>
              <w:t xml:space="preserve">1.1.1.4</w:t>
            </w:r>
            <w:r>
              <w:rPr>
                <w:b w:val="false"/>
                <w:bCs w:val="false"/>
                <w:i w:val="false"/>
                <w:iCs w:val="false"/>
              </w:rPr>
              <w:t xml:space="preserve"> System must comply with Malawi's National Digitalization Policy.</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Card production is digital end to end: approved records are retrieved from NRIS through a single secure interface, and production, quality and dispatch status return to NRIS automatically, where they drive the document tracker and the cardholder SMS. The System uses the Government PKI and the Government Wide Area Network. [CONFIRM: The proposal documents state compliance (</w:t>
            </w:r>
            <w:r>
              <w:rPr>
                <w:b w:val="false"/>
                <w:bCs w:val="false"/>
                <w:i w:val="false"/>
                <w:iCs w:val="false"/>
              </w:rPr>
              <w:t xml:space="preserve">System Architecture Section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but do not map the System to the Policy itself. Inkript to check this response against the Policy copy issued with the Responses to Queries 04.]</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11&quot;">
              <w:r>
                <w:rPr>
                  <w:rStyle w:val="Hyperlink"/>
                  <w:b w:val="false"/>
                  <w:bCs w:val="false"/>
                  <w:i w:val="false"/>
                  <w:iCs w:val="false"/>
                </w:rPr>
                <w:t xml:space="preserve">7.11</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1780"/>
            <w:tcMar>
              <w:top w:type="dxa" w:w="60"/>
              <w:left w:type="dxa" w:w="100"/>
              <w:bottom w:type="dxa" w:w="60"/>
              <w:right w:type="dxa" w:w="100"/>
            </w:tcMar>
          </w:tcPr>
          <w:p>
            <w:pPr>
              <w:spacing w:after="0" w:before="0"/>
            </w:pPr>
            <w:r>
              <w:rPr>
                <w:b/>
                <w:bCs/>
                <w:i w:val="false"/>
                <w:iCs w:val="false"/>
              </w:rPr>
              <w:t xml:space="preserve">1.1.1.5</w:t>
            </w:r>
            <w:r>
              <w:rPr>
                <w:b w:val="false"/>
                <w:bCs w:val="false"/>
                <w:i w:val="false"/>
                <w:iCs w:val="false"/>
              </w:rPr>
              <w:t xml:space="preserve"> System must comply with the Project Environmental and Social Management Plan.</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System is supplied, installed and operated in compliance with the Project Environmental and Social Management Plan, and Inkript's own Environmental and Social Management Plan accompanies the proposal. Rejected and defective cards, which carry personal data, are destroyed by cross-cut shredding under dual custody, with a destruction certificate for every batch. [CONFIRM: Inkript's Environmental and Social Management Plan and related plans (Document Register items 5.4 to 5.8 and items 5.20 to 5.22) must be in the proposal. The four proposal documents contain only a compliance statement and no environmental or social measures.]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1_1&quot;">
              <w:r>
                <w:rPr>
                  <w:rStyle w:val="Hyperlink"/>
                  <w:b w:val="false"/>
                  <w:bCs w:val="false"/>
                  <w:i w:val="false"/>
                  <w:iCs w:val="false"/>
                </w:rPr>
                <w:t xml:space="preserve">11.1</w:t>
              </w:r>
            </w:fldSimple>
            <w:r>
              <w:rPr>
                <w:b w:val="false"/>
                <w:bCs w:val="false"/>
                <w:i w:val="false"/>
                <w:iCs w:val="false"/>
              </w:rPr>
              <w:t xml:space="preserve">; Attachment: Environmental and Social Management Plan</w:t>
            </w:r>
          </w:p>
        </w:tc>
      </w:tr>
      <w:tr>
        <w:tc>
          <w:tcPr>
            <w:tcW w:type="dxa" w:w="1780"/>
            <w:tcMar>
              <w:top w:type="dxa" w:w="60"/>
              <w:left w:type="dxa" w:w="100"/>
              <w:bottom w:type="dxa" w:w="60"/>
              <w:right w:type="dxa" w:w="100"/>
            </w:tcMar>
          </w:tcPr>
          <w:p>
            <w:pPr>
              <w:spacing w:after="0" w:before="0"/>
            </w:pPr>
            <w:r>
              <w:rPr>
                <w:b/>
                <w:bCs/>
                <w:i w:val="false"/>
                <w:iCs w:val="false"/>
              </w:rPr>
              <w:t xml:space="preserve">1.1.1.6</w:t>
            </w:r>
            <w:r>
              <w:rPr>
                <w:b w:val="false"/>
                <w:bCs w:val="false"/>
                <w:i w:val="false"/>
                <w:iCs w:val="false"/>
              </w:rPr>
              <w:t xml:space="preserve"> System must comply with the National Registration Act of 2015.</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Cards are produced only for records NRIS has approved and released, each keyed to the National Identity Number, with NRIS remaining the system of record. First issuance, replacement, duplicate, re-issuance, renewal and cancellation follow the request type NRIS sets, and every card is traceable by serial number from the NRIS request to delivery.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3&quot;">
              <w:r>
                <w:rPr>
                  <w:rStyle w:val="Hyperlink"/>
                  <w:b w:val="false"/>
                  <w:bCs w:val="false"/>
                  <w:i w:val="false"/>
                  <w:iCs w:val="false"/>
                </w:rPr>
                <w:t xml:space="preserve">2.3</w:t>
              </w:r>
            </w:fldSimple>
            <w:r>
              <w:rPr>
                <w:b w:val="false"/>
                <w:bCs w:val="false"/>
                <w:i w:val="false"/>
                <w:iCs w:val="false"/>
              </w:rPr>
              <w:t xml:space="preserve">, </w:t>
            </w:r>
            <w:fldSimple w:instr="HYPERLINK &quot;Document-5-Technical-Proposal-System-Architecture.docx&quot; \l &quot;sec_7_10&quot;">
              <w:r>
                <w:rPr>
                  <w:rStyle w:val="Hyperlink"/>
                  <w:b w:val="false"/>
                  <w:bCs w:val="false"/>
                  <w:i w:val="false"/>
                  <w:iCs w:val="false"/>
                </w:rPr>
                <w:t xml:space="preserve">7.10</w:t>
              </w:r>
            </w:fldSimple>
            <w:r>
              <w:rPr>
                <w:b w:val="false"/>
                <w:bCs w:val="false"/>
                <w:i w:val="false"/>
                <w:iCs w:val="false"/>
              </w:rPr>
              <w:t xml:space="preserve">,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bl>
    <w:p>
      <w:pPr>
        <w:spacing w:after="140"/>
      </w:pPr>
    </w:p>
    <w:p>
      <w:pPr>
        <w:pStyle w:val="Heading2"/>
        <w:numPr>
          <w:ilvl w:val="1"/>
          <w:numId w:val="2"/>
        </w:numPr>
        <w:spacing w:after="140" w:before="260"/>
      </w:pPr>
      <w:r>
        <w:t xml:space="preserve">B</w:t>
      </w:r>
      <w:bookmarkStart w:name="sec_1_2" w:id="1"/>
      <w:r>
        <w:rPr>
          <w:b w:val="false"/>
          <w:bCs w:val="false"/>
          <w:i w:val="false"/>
          <w:iCs w:val="false"/>
        </w:rPr>
        <w:t xml:space="preserve">usiness function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1.2.1</w:t>
            </w:r>
            <w:r>
              <w:rPr>
                <w:b w:val="false"/>
                <w:bCs w:val="false"/>
                <w:i w:val="false"/>
                <w:iCs w:val="false"/>
              </w:rPr>
              <w:t xml:space="preserve"> Enhance the security, durability and efficiency of National ID personalization and dispatch processes.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Security comes from laser engraving inside a fused polycarbonate body, the HSM-signed biometric QR code and serialized blank stock control. Durability comes from 100% polycarbonate cards with a minimum ten-year service life. Efficiency comes from two automated lines producing not less than 2,000 cards per hour, matched by two automated mailing lines.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p>
        </w:tc>
      </w:tr>
      <w:tr>
        <w:tc>
          <w:tcPr>
            <w:tcW w:type="dxa" w:w="2110"/>
            <w:tcMar>
              <w:top w:type="dxa" w:w="60"/>
              <w:left w:type="dxa" w:w="100"/>
              <w:bottom w:type="dxa" w:w="60"/>
              <w:right w:type="dxa" w:w="100"/>
            </w:tcMar>
          </w:tcPr>
          <w:p>
            <w:pPr>
              <w:spacing w:after="0" w:before="0"/>
            </w:pPr>
            <w:r>
              <w:rPr>
                <w:b/>
                <w:bCs/>
                <w:i w:val="false"/>
                <w:iCs w:val="false"/>
              </w:rPr>
              <w:t xml:space="preserve">1.2.2.1</w:t>
            </w:r>
            <w:r>
              <w:rPr>
                <w:b w:val="false"/>
                <w:bCs w:val="false"/>
                <w:i w:val="false"/>
                <w:iCs w:val="false"/>
              </w:rPr>
              <w:t xml:space="preserve"> Renovate the Card Printing Facility: identify gaps, quantify works, identify and supervise partner for ancillary equipment.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CIRA-registered subcontractor, as Addendum 2 requires, delivers the renovation under Inkript's single-point accountability. As clarified in the Responses to Queries 003 and Queries 04, new power, HVAC, fire, physical security and secure areas are designed without reliance on existing infrastructure, to the ICT Site Preparation Guide issued in week 4, with works in weeks 7 to 18. [GAP: The four proposal documents place the renovation under separate facility works (</w:t>
            </w:r>
            <w:r>
              <w:rPr>
                <w:b w:val="false"/>
                <w:bCs w:val="false"/>
                <w:i w:val="false"/>
                <w:iCs w:val="false"/>
              </w:rPr>
              <w:t xml:space="preserve">Preliminary Project Plan Section </w:t>
            </w:r>
            <w:fldSimple w:instr="HYPERLINK &quot;Preliminary-Project-Plan-Information-System-Sub-Plans.docx&quot; \l &quot;sec_1_1&quot;">
              <w:r>
                <w:rPr>
                  <w:rStyle w:val="Hyperlink"/>
                  <w:b w:val="false"/>
                  <w:bCs w:val="false"/>
                  <w:i w:val="false"/>
                  <w:iCs w:val="false"/>
                </w:rPr>
                <w:t xml:space="preserve">1.1</w:t>
              </w:r>
            </w:fldSimple>
            <w:r>
              <w:rPr>
                <w:b w:val="false"/>
                <w:bCs w:val="false"/>
                <w:i w:val="false"/>
                <w:iCs w:val="false"/>
              </w:rPr>
              <w:t xml:space="preserve">) and contain no gap assessment, bill of quantities, renovation method or plan for supervising the ancillary-equipment partner. </w:t>
            </w:r>
            <w:r>
              <w:rPr>
                <w:b w:val="false"/>
                <w:bCs w:val="false"/>
                <w:i w:val="false"/>
                <w:iCs w:val="false"/>
              </w:rPr>
              <w:t xml:space="preserve">Preliminary Project Plan Section </w:t>
            </w:r>
            <w:fldSimple w:instr="HYPERLINK &quot;Preliminary-Project-Plan-Information-System-Sub-Plans.docx&quot; \l &quot;sec_2_8&quot;">
              <w:r>
                <w:rPr>
                  <w:rStyle w:val="Hyperlink"/>
                  <w:b w:val="false"/>
                  <w:bCs w:val="false"/>
                  <w:i w:val="false"/>
                  <w:iCs w:val="false"/>
                </w:rPr>
                <w:t xml:space="preserve">2.8</w:t>
              </w:r>
            </w:fldSimple>
            <w:r>
              <w:rPr>
                <w:b w:val="false"/>
                <w:bCs w:val="false"/>
                <w:i w:val="false"/>
                <w:iCs w:val="false"/>
              </w:rPr>
              <w:t xml:space="preserve"> makes the facility works accountable for server room and floor readiness, with Inkript only consulted. A facility works method statement and supervision arrangement are needed.]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2&quot;">
              <w:r>
                <w:rPr>
                  <w:rStyle w:val="Hyperlink"/>
                  <w:b w:val="false"/>
                  <w:bCs w:val="false"/>
                  <w:i w:val="false"/>
                  <w:iCs w:val="false"/>
                </w:rPr>
                <w:t xml:space="preserve">1.2</w:t>
              </w:r>
            </w:fldSimple>
            <w:r>
              <w:rPr>
                <w:b w:val="false"/>
                <w:bCs w:val="false"/>
                <w:i w:val="false"/>
                <w:iCs w:val="false"/>
              </w:rPr>
              <w:t xml:space="preserve"> and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and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2_1&quot;">
              <w:r>
                <w:rPr>
                  <w:rStyle w:val="Hyperlink"/>
                  <w:b w:val="false"/>
                  <w:bCs w:val="false"/>
                  <w:i w:val="false"/>
                  <w:iCs w:val="false"/>
                </w:rPr>
                <w:t xml:space="preserve">2.1</w:t>
              </w:r>
            </w:fldSimple>
            <w:r>
              <w:rPr>
                <w:b w:val="false"/>
                <w:bCs w:val="false"/>
                <w:i w:val="false"/>
                <w:iCs w:val="false"/>
              </w:rPr>
              <w:t xml:space="preserve">; Attachment: CIRA registration certificate</w:t>
            </w:r>
          </w:p>
        </w:tc>
      </w:tr>
      <w:tr>
        <w:tc>
          <w:tcPr>
            <w:tcW w:type="dxa" w:w="2110"/>
            <w:tcMar>
              <w:top w:type="dxa" w:w="60"/>
              <w:left w:type="dxa" w:w="100"/>
              <w:bottom w:type="dxa" w:w="60"/>
              <w:right w:type="dxa" w:w="100"/>
            </w:tcMar>
          </w:tcPr>
          <w:p>
            <w:pPr>
              <w:spacing w:after="0" w:before="0"/>
            </w:pPr>
            <w:r>
              <w:rPr>
                <w:b/>
                <w:bCs/>
                <w:i w:val="false"/>
                <w:iCs w:val="false"/>
              </w:rPr>
              <w:t xml:space="preserve">1.2.2.2</w:t>
            </w:r>
            <w:r>
              <w:rPr>
                <w:b w:val="false"/>
                <w:bCs w:val="false"/>
                <w:i w:val="false"/>
                <w:iCs w:val="false"/>
              </w:rPr>
              <w:t xml:space="preserve"> Supply high-security, ISO-compliant polycarbonate cards with advanced card-body and personalization security features.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two million chipless, serialized cards are supplied: 100% polycarbonate, six or more fused layers, tested to ISO/IEC 7810, ISO/IEC 10373-1 and ISO/IEC 24789. Card-body features include guilloche, OVMI, UV, photonic crystal and thermochromic ink; laser personalization adds a grayscale portrait, CLI, micro-text, tactile relief and a signed QR code. [CONFIRM: Depends on the card manufacturer's laboratory test reports, OEM letter and construction and feature confirmations (Document Register item 2.1, item 2.13, item 2.15 and item 2.16).]</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quot;">
              <w:r>
                <w:rPr>
                  <w:rStyle w:val="Hyperlink"/>
                  <w:b w:val="false"/>
                  <w:bCs w:val="false"/>
                  <w:i w:val="false"/>
                  <w:iCs w:val="false"/>
                </w:rPr>
                <w:t xml:space="preserve">4</w:t>
              </w:r>
            </w:fldSimple>
            <w:r>
              <w:rPr>
                <w:b w:val="false"/>
                <w:bCs w:val="false"/>
                <w:i w:val="false"/>
                <w:iCs w:val="false"/>
              </w:rPr>
              <w:t xml:space="preserve">,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4_6&quot;">
              <w:r>
                <w:rPr>
                  <w:rStyle w:val="Hyperlink"/>
                  <w:b w:val="false"/>
                  <w:bCs w:val="false"/>
                  <w:i w:val="false"/>
                  <w:iCs w:val="false"/>
                </w:rPr>
                <w:t xml:space="preserve">4.6</w:t>
              </w:r>
            </w:fldSimple>
            <w:r>
              <w:rPr>
                <w:b w:val="false"/>
                <w:bCs w:val="false"/>
                <w:i w:val="false"/>
                <w:iCs w:val="false"/>
              </w:rPr>
              <w:t xml:space="preserve">; Attachment: Card manufacturer laboratory test reports</w:t>
            </w:r>
          </w:p>
        </w:tc>
      </w:tr>
      <w:tr>
        <w:tc>
          <w:tcPr>
            <w:tcW w:type="dxa" w:w="2110"/>
            <w:tcMar>
              <w:top w:type="dxa" w:w="60"/>
              <w:left w:type="dxa" w:w="100"/>
              <w:bottom w:type="dxa" w:w="60"/>
              <w:right w:type="dxa" w:w="100"/>
            </w:tcMar>
          </w:tcPr>
          <w:p>
            <w:pPr>
              <w:spacing w:after="0" w:before="0"/>
            </w:pPr>
            <w:r>
              <w:rPr>
                <w:b/>
                <w:bCs/>
                <w:i w:val="false"/>
                <w:iCs w:val="false"/>
              </w:rPr>
              <w:t xml:space="preserve">1.2.2.3</w:t>
            </w:r>
            <w:r>
              <w:rPr>
                <w:b w:val="false"/>
                <w:bCs w:val="false"/>
                <w:i w:val="false"/>
                <w:iCs w:val="false"/>
              </w:rPr>
              <w:t xml:space="preserve"> Supply two laser personalization systems producing laser-engraved, multilingual, security-enhanced polycarbonate ID cards at required performance.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Two automatic modular fiber laser personalization systems engrave both faces in a single pass: variable text in English and Chichewa, a 600 dpi grayscale portrait, secondary image, micro-text, CLI, the signed QR code and tactile relief. As clarified in the Response to Clarifications 001, each machine delivers not less than 1,000 cards per hour, giving 2,000 combined. [CONFIRM: The S8000 datasheet gives up to 2,000 cph per machine. Inkript to confirm, as </w:t>
            </w:r>
            <w:r>
              <w:rPr>
                <w:b w:val="false"/>
                <w:bCs w:val="false"/>
                <w:i w:val="false"/>
                <w:iCs w:val="false"/>
              </w:rPr>
              <w:t xml:space="preserve">Preliminary Project Plan Section </w:t>
            </w:r>
            <w:fldSimple w:instr="HYPERLINK &quot;Preliminary-Project-Plan-Information-System-Sub-Plans.docx&quot; \l &quot;sec_2_9&quot;">
              <w:r>
                <w:rPr>
                  <w:rStyle w:val="Hyperlink"/>
                  <w:b w:val="false"/>
                  <w:bCs w:val="false"/>
                  <w:i w:val="false"/>
                  <w:iCs w:val="false"/>
                </w:rPr>
                <w:t xml:space="preserve">2.9</w:t>
              </w:r>
            </w:fldSimple>
            <w:r>
              <w:rPr>
                <w:b w:val="false"/>
                <w:bCs w:val="false"/>
                <w:i w:val="false"/>
                <w:iCs w:val="false"/>
              </w:rPr>
              <w:t xml:space="preserve"> risk R3 requires, that each machine sustains at least 1,000 accepted cards per hour with full content, since the Responses to Queries 003 measure throughput on accepted finished cards. The laser datasheet lists neither tactile marking nor a 600 dpi resolution.]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3_3&quot;">
              <w:r>
                <w:rPr>
                  <w:rStyle w:val="Hyperlink"/>
                  <w:b w:val="false"/>
                  <w:bCs w:val="false"/>
                  <w:i w:val="false"/>
                  <w:iCs w:val="false"/>
                </w:rPr>
                <w:t xml:space="preserve">3.3</w:t>
              </w:r>
            </w:fldSimple>
            <w:r>
              <w:rPr>
                <w:b w:val="false"/>
                <w:bCs w:val="false"/>
                <w:i w:val="false"/>
                <w:iCs w:val="false"/>
              </w:rPr>
              <w:t xml:space="preserve"> and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Attachment: S8000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1.2.2.4</w:t>
            </w:r>
            <w:r>
              <w:rPr>
                <w:b w:val="false"/>
                <w:bCs w:val="false"/>
                <w:i w:val="false"/>
                <w:iCs w:val="false"/>
              </w:rPr>
              <w:t xml:space="preserve"> Supply two mailing systems meeting output capacity, barcode/QR reading, card-to-carrier handling and software compatibility.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Two automated mailing systems each deliver not less than 1,000 single-card mailers per hour, 2,000 combined, as clarified in the Clarifications to Queries 005. Each reads 1D, 2D and QR codes, affixes one to four cards per carrier, re-reads card and carrier together, and takes job data live from the Mailing and Dispatch Management System. [CONFIRM: The MS1000 datasheet rates each machine at up to 1,000 cph standalone, exactly the required minimum with no margin, lists the card data reading station as optional, and runs Maticard Pro on Windows 8 and Windows 10. Inkript to confirm rate, QR reading and supported operating system with the OEM.]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5_7&quot;">
              <w:r>
                <w:rPr>
                  <w:rStyle w:val="Hyperlink"/>
                  <w:b w:val="false"/>
                  <w:bCs w:val="false"/>
                  <w:i w:val="false"/>
                  <w:iCs w:val="false"/>
                </w:rPr>
                <w:t xml:space="preserve">5.7</w:t>
              </w:r>
            </w:fldSimple>
            <w:r>
              <w:rPr>
                <w:b w:val="false"/>
                <w:bCs w:val="false"/>
                <w:i w:val="false"/>
                <w:iCs w:val="false"/>
              </w:rPr>
              <w:t xml:space="preserve">; Attachment: MS1000 mailing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1.2.2.5</w:t>
            </w:r>
            <w:r>
              <w:rPr>
                <w:b w:val="false"/>
                <w:bCs w:val="false"/>
                <w:i w:val="false"/>
                <w:iCs w:val="false"/>
              </w:rPr>
              <w:t xml:space="preserve"> Provide all required software components, machine software, diagnostic tools and documentation.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Inkript supplies the application software suite, the manufacturer's machine control software with its template editor, and the database, operating system, monitoring and security software, each inventoried and licensed for three years from Operational Acceptance. Diagnostic and setup software comes with each machine, and documentation runs from design documents to manuals, operating procedures and as-built records. [CONFIRM: Depends on the OEM software list with license texts and the machine software scope statement (Document Register item 1.7 and item 1.8).]</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w:t>
            </w:r>
            <w:fldSimple w:instr="HYPERLINK &quot;Document-5-Technical-Proposal-System-Architecture.docx&quot; \l &quot;sec_6_14&quot;">
              <w:r>
                <w:rPr>
                  <w:rStyle w:val="Hyperlink"/>
                  <w:b w:val="false"/>
                  <w:bCs w:val="false"/>
                  <w:i w:val="false"/>
                  <w:iCs w:val="false"/>
                </w:rPr>
                <w:t xml:space="preserve">6.14</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Attachment: MS1000 mailing system datasheet; Attachment: Software list with license texts</w:t>
            </w:r>
          </w:p>
        </w:tc>
      </w:tr>
      <w:tr>
        <w:tc>
          <w:tcPr>
            <w:tcW w:type="dxa" w:w="2110"/>
            <w:tcMar>
              <w:top w:type="dxa" w:w="60"/>
              <w:left w:type="dxa" w:w="100"/>
              <w:bottom w:type="dxa" w:w="60"/>
              <w:right w:type="dxa" w:w="100"/>
            </w:tcMar>
          </w:tcPr>
          <w:p>
            <w:pPr>
              <w:spacing w:after="0" w:before="0"/>
            </w:pPr>
            <w:r>
              <w:rPr>
                <w:b/>
                <w:bCs/>
                <w:i w:val="false"/>
                <w:iCs w:val="false"/>
              </w:rPr>
              <w:t xml:space="preserve">1.2.2.6</w:t>
            </w:r>
            <w:r>
              <w:rPr>
                <w:b w:val="false"/>
                <w:bCs w:val="false"/>
                <w:i w:val="false"/>
                <w:iCs w:val="false"/>
              </w:rPr>
              <w:t xml:space="preserve"> Provide classroom and hands-on training so Government staff operate, manage and give first-line support.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Role-based user, technical and management training combines classroom sessions, hands-on practice on the deployed system and training environment, factory training at FAT and shadowing during installation. Helpdesk and technical support staff are trained for first-line support, trainees are assessed for competence, and operational independence is demonstrated in operational acceptance test 16.</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3&quot;">
              <w:r>
                <w:rPr>
                  <w:rStyle w:val="Hyperlink"/>
                  <w:b w:val="false"/>
                  <w:bCs w:val="false"/>
                  <w:i w:val="false"/>
                  <w:iCs w:val="false"/>
                </w:rPr>
                <w:t xml:space="preserve">3.3</w:t>
              </w:r>
            </w:fldSimple>
            <w:r>
              <w:rPr>
                <w:b w:val="false"/>
                <w:bCs w:val="false"/>
                <w:i w:val="false"/>
                <w:iCs w:val="false"/>
              </w:rPr>
              <w:t xml:space="preserve">,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w:t>
            </w:r>
            <w:fldSimple w:instr="HYPERLINK &quot;Preliminary-Project-Plan-Information-System-Sub-Plans.docx&quot; \l &quot;sec_3_5&quot;">
              <w:r>
                <w:rPr>
                  <w:rStyle w:val="Hyperlink"/>
                  <w:b w:val="false"/>
                  <w:bCs w:val="false"/>
                  <w:i w:val="false"/>
                  <w:iCs w:val="false"/>
                </w:rPr>
                <w:t xml:space="preserve">3.5</w:t>
              </w:r>
            </w:fldSimple>
            <w:r>
              <w:rPr>
                <w:b w:val="false"/>
                <w:bCs w:val="false"/>
                <w:i w:val="false"/>
                <w:iCs w:val="false"/>
              </w:rPr>
              <w:t xml:space="preserve"> and </w:t>
            </w:r>
            <w:fldSimple w:instr="HYPERLINK &quot;Preliminary-Project-Plan-Information-System-Sub-Plans.docx&quot; \l &quot;sec_3_7&quot;">
              <w:r>
                <w:rPr>
                  <w:rStyle w:val="Hyperlink"/>
                  <w:b w:val="false"/>
                  <w:bCs w:val="false"/>
                  <w:i w:val="false"/>
                  <w:iCs w:val="false"/>
                </w:rPr>
                <w:t xml:space="preserve">3.7</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r>
        <w:tc>
          <w:tcPr>
            <w:tcW w:type="dxa" w:w="2110"/>
            <w:tcMar>
              <w:top w:type="dxa" w:w="60"/>
              <w:left w:type="dxa" w:w="100"/>
              <w:bottom w:type="dxa" w:w="60"/>
              <w:right w:type="dxa" w:w="100"/>
            </w:tcMar>
          </w:tcPr>
          <w:p>
            <w:pPr>
              <w:spacing w:after="0" w:before="0"/>
            </w:pPr>
            <w:r>
              <w:rPr>
                <w:b/>
                <w:bCs/>
                <w:i w:val="false"/>
                <w:iCs w:val="false"/>
              </w:rPr>
              <w:t xml:space="preserve">1.2.2.7</w:t>
            </w:r>
            <w:r>
              <w:rPr>
                <w:b w:val="false"/>
                <w:bCs w:val="false"/>
                <w:i w:val="false"/>
                <w:iCs w:val="false"/>
              </w:rPr>
              <w:t xml:space="preserve"> Establish a turnkey facility by supplying and installing all deliverables in the specification.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Inkript delivers the facility turnkey as a single point of accountability: the equipment, two million cards, application software, ICT infrastructure at the primary and secondary sites, NRIS integration and the facility works subcontract, through ten contractual milestones to handover and go-live in week 32. Integration and interoperability responsibility is accepted under ITP 16.2(b).</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1&quot;">
              <w:r>
                <w:rPr>
                  <w:rStyle w:val="Hyperlink"/>
                  <w:b w:val="false"/>
                  <w:bCs w:val="false"/>
                  <w:i w:val="false"/>
                  <w:iCs w:val="false"/>
                </w:rPr>
                <w:t xml:space="preserve">1.1</w:t>
              </w:r>
            </w:fldSimple>
            <w:r>
              <w:rPr>
                <w:b w:val="false"/>
                <w:bCs w:val="false"/>
                <w:i w:val="false"/>
                <w:iCs w:val="false"/>
              </w:rPr>
              <w:t xml:space="preserve"> and </w:t>
            </w:r>
            <w:fldSimple w:instr="HYPERLINK &quot;Document-5-Technical-Proposal-System-Architecture.docx&quot; \l &quot;sec_1_2&quot;">
              <w:r>
                <w:rPr>
                  <w:rStyle w:val="Hyperlink"/>
                  <w:b w:val="false"/>
                  <w:bCs w:val="false"/>
                  <w:i w:val="false"/>
                  <w:iCs w:val="false"/>
                </w:rPr>
                <w:t xml:space="preserve">1.2</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and </w:t>
            </w:r>
            <w:fldSimple w:instr="HYPERLINK &quot;Preliminary-Project-Plan-Information-System-Sub-Plans.docx&quot; \l &quot;sec_2_2&quot;">
              <w:r>
                <w:rPr>
                  <w:rStyle w:val="Hyperlink"/>
                  <w:b w:val="false"/>
                  <w:bCs w:val="false"/>
                  <w:i w:val="false"/>
                  <w:iCs w:val="false"/>
                </w:rPr>
                <w:t xml:space="preserve">2.2</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2_1&quot;">
              <w:r>
                <w:rPr>
                  <w:rStyle w:val="Hyperlink"/>
                  <w:b w:val="false"/>
                  <w:bCs w:val="false"/>
                  <w:i w:val="false"/>
                  <w:iCs w:val="false"/>
                </w:rPr>
                <w:t xml:space="preserve">2.1</w:t>
              </w:r>
            </w:fldSimple>
          </w:p>
        </w:tc>
      </w:tr>
    </w:tbl>
    <w:p>
      <w:pPr>
        <w:spacing w:after="140"/>
      </w:pPr>
    </w:p>
    <w:p>
      <w:pPr>
        <w:pStyle w:val="Heading2"/>
        <w:numPr>
          <w:ilvl w:val="1"/>
          <w:numId w:val="2"/>
        </w:numPr>
        <w:spacing w:after="140" w:before="260"/>
      </w:pPr>
      <w:r>
        <w:t xml:space="preserve">A</w:t>
      </w:r>
      <w:bookmarkStart w:name="sec_1_3" w:id="1"/>
      <w:r>
        <w:rPr>
          <w:b w:val="false"/>
          <w:bCs w:val="false"/>
          <w:i w:val="false"/>
          <w:iCs w:val="false"/>
        </w:rPr>
        <w:t xml:space="preserve">rchitectural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1.3.1.1.1</w:t>
            </w:r>
            <w:r>
              <w:rPr>
                <w:b w:val="false"/>
                <w:bCs w:val="false"/>
                <w:i w:val="false"/>
                <w:iCs w:val="false"/>
              </w:rPr>
              <w:t xml:space="preserve"> Secure, modular, scalable, service-oriented software architecture for high-volume personalization and mailing.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application is a set of discrete single-responsibility services with defined interfaces, organized in six layers, and each service can be scaled, restarted or replaced alone. It runs on clustered hosts with two active load-balanced application servers, sized for 2,000 cards per hour and 100 concurrent users, behind layered zero-trust security.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1&quot;">
              <w:r>
                <w:rPr>
                  <w:rStyle w:val="Hyperlink"/>
                  <w:b w:val="false"/>
                  <w:bCs w:val="false"/>
                  <w:i w:val="false"/>
                  <w:iCs w:val="false"/>
                </w:rPr>
                <w:t xml:space="preserve">2.1</w:t>
              </w:r>
            </w:fldSimple>
            <w:r>
              <w:rPr>
                <w:b w:val="false"/>
                <w:bCs w:val="false"/>
                <w:i w:val="false"/>
                <w:iCs w:val="false"/>
              </w:rPr>
              <w:t xml:space="preserve">, </w:t>
            </w:r>
            <w:fldSimple w:instr="HYPERLINK &quot;Document-5-Technical-Proposal-System-Architecture.docx&quot; \l &quot;sec_6_1&quot;">
              <w:r>
                <w:rPr>
                  <w:rStyle w:val="Hyperlink"/>
                  <w:b w:val="false"/>
                  <w:bCs w:val="false"/>
                  <w:i w:val="false"/>
                  <w:iCs w:val="false"/>
                </w:rPr>
                <w:t xml:space="preserve">6.1</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0_1&quot;">
              <w:r>
                <w:rPr>
                  <w:rStyle w:val="Hyperlink"/>
                  <w:b w:val="false"/>
                  <w:bCs w:val="false"/>
                  <w:i w:val="false"/>
                  <w:iCs w:val="false"/>
                </w:rPr>
                <w:t xml:space="preserve">10.1</w:t>
              </w:r>
            </w:fldSimple>
          </w:p>
        </w:tc>
      </w:tr>
      <w:tr>
        <w:tc>
          <w:tcPr>
            <w:tcW w:type="dxa" w:w="2000"/>
            <w:tcMar>
              <w:top w:type="dxa" w:w="60"/>
              <w:left w:type="dxa" w:w="100"/>
              <w:bottom w:type="dxa" w:w="60"/>
              <w:right w:type="dxa" w:w="100"/>
            </w:tcMar>
          </w:tcPr>
          <w:p>
            <w:pPr>
              <w:spacing w:after="0" w:before="0"/>
            </w:pPr>
            <w:r>
              <w:rPr>
                <w:b/>
                <w:bCs/>
                <w:i w:val="false"/>
                <w:iCs w:val="false"/>
              </w:rPr>
              <w:t xml:space="preserve">1.3.1.1.2.1.1</w:t>
            </w:r>
            <w:r>
              <w:rPr>
                <w:b w:val="false"/>
                <w:bCs w:val="false"/>
                <w:i w:val="false"/>
                <w:iCs w:val="false"/>
              </w:rPr>
              <w:t xml:space="preserve"> Presentation Layer: GUI operator consoles, web administration portals, supervisor, production monitoring, audit and reporting interfaces.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Graphical web interfaces provide the Printer Controller Admin, quality control, mailing and dispatch, and stock control operator consoles, a web administration portal, a supervisor dashboard, a production monitoring dashboard, reporting and analytics dashboards and a read-only audit interface. As clarified in the Responses to Queries 04, system management for personalization and mailing uses a secure web-based interface. [CONFIRM: The Responses to Queries 04 require secure web-based system management for both personalization and mailing, while station status, faults and calibration run in the manufacturer's local operator interface (</w:t>
            </w:r>
            <w:r>
              <w:rPr>
                <w:b w:val="false"/>
                <w:bCs w:val="false"/>
                <w:i w:val="false"/>
                <w:iCs w:val="false"/>
              </w:rPr>
              <w:t xml:space="preserve">System Architecture Section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Inkript to confirm the OEM software or the web consoles cover this.]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6&quot;">
              <w:r>
                <w:rPr>
                  <w:rStyle w:val="Hyperlink"/>
                  <w:b w:val="false"/>
                  <w:bCs w:val="false"/>
                  <w:i w:val="false"/>
                  <w:iCs w:val="false"/>
                </w:rPr>
                <w:t xml:space="preserve">6.6</w:t>
              </w:r>
            </w:fldSimple>
            <w:r>
              <w:rPr>
                <w:b w:val="false"/>
                <w:bCs w:val="false"/>
                <w:i w:val="false"/>
                <w:iCs w:val="false"/>
              </w:rPr>
              <w:t xml:space="preserve">,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and </w:t>
            </w:r>
            <w:fldSimple w:instr="HYPERLINK &quot;Document-5-Technical-Proposal-System-Architecture.docx&quot; \l &quot;sec_6_13&quot;">
              <w:r>
                <w:rPr>
                  <w:rStyle w:val="Hyperlink"/>
                  <w:b w:val="false"/>
                  <w:bCs w:val="false"/>
                  <w:i w:val="false"/>
                  <w:iCs w:val="false"/>
                </w:rPr>
                <w:t xml:space="preserve">6.13</w:t>
              </w:r>
            </w:fldSimple>
          </w:p>
        </w:tc>
      </w:tr>
      <w:tr>
        <w:tc>
          <w:tcPr>
            <w:tcW w:type="dxa" w:w="2000"/>
            <w:tcMar>
              <w:top w:type="dxa" w:w="60"/>
              <w:left w:type="dxa" w:w="100"/>
              <w:bottom w:type="dxa" w:w="60"/>
              <w:right w:type="dxa" w:w="100"/>
            </w:tcMar>
          </w:tcPr>
          <w:p>
            <w:pPr>
              <w:spacing w:after="0" w:before="0"/>
            </w:pPr>
            <w:r>
              <w:rPr>
                <w:b/>
                <w:bCs/>
                <w:i w:val="false"/>
                <w:iCs w:val="false"/>
              </w:rPr>
              <w:t xml:space="preserve">1.3.1.1.2.1.2</w:t>
            </w:r>
            <w:r>
              <w:rPr>
                <w:b w:val="false"/>
                <w:bCs w:val="false"/>
                <w:i w:val="false"/>
                <w:iCs w:val="false"/>
              </w:rPr>
              <w:t xml:space="preserve"> Interfaces support role-based views, multilingual support, secure authentication and real-time operational visibility.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interface shows only the functions and data the user's role grants, and controlled actions are tied to designated workstations. Interface text sits in per-user language resource files, so a language is added without code change, with Unicode data throughout. Authentication is single sign-on with MFA over TLS 1.2 or higher, and status changes push live.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r>
        <w:tc>
          <w:tcPr>
            <w:tcW w:type="dxa" w:w="2000"/>
            <w:tcMar>
              <w:top w:type="dxa" w:w="60"/>
              <w:left w:type="dxa" w:w="100"/>
              <w:bottom w:type="dxa" w:w="60"/>
              <w:right w:type="dxa" w:w="100"/>
            </w:tcMar>
          </w:tcPr>
          <w:p>
            <w:pPr>
              <w:spacing w:after="0" w:before="0"/>
            </w:pPr>
            <w:r>
              <w:rPr>
                <w:b/>
                <w:bCs/>
                <w:i w:val="false"/>
                <w:iCs w:val="false"/>
              </w:rPr>
              <w:t xml:space="preserve">1.3.1.1.2.1.3</w:t>
            </w:r>
            <w:r>
              <w:rPr>
                <w:b w:val="false"/>
                <w:bCs w:val="false"/>
                <w:i w:val="false"/>
                <w:iCs w:val="false"/>
              </w:rPr>
              <w:t xml:space="preserve"> Provide graphical card layout designer, operator workflow, error and notification interfaces, reporting and analytics dashboards.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003 and Queries 04, the Malawi National ID template is redesigned jointly with the Purchaser, in the manufacturer's graphical Card Layout Template Editor, versioned and approval-controlled. Task-sequenced operator workflow consoles, condition-specific error and notification displays with escalation, and reporting and analytics dashboards are provided.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3&quot;">
              <w:r>
                <w:rPr>
                  <w:rStyle w:val="Hyperlink"/>
                  <w:b w:val="false"/>
                  <w:bCs w:val="false"/>
                  <w:i w:val="false"/>
                  <w:iCs w:val="false"/>
                </w:rPr>
                <w:t xml:space="preserve">6.3</w:t>
              </w:r>
            </w:fldSimple>
            <w:r>
              <w:rPr>
                <w:b w:val="false"/>
                <w:bCs w:val="false"/>
                <w:i w:val="false"/>
                <w:iCs w:val="false"/>
              </w:rPr>
              <w:t xml:space="preserve">,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4&quot;">
              <w:r>
                <w:rPr>
                  <w:rStyle w:val="Hyperlink"/>
                  <w:b w:val="false"/>
                  <w:bCs w:val="false"/>
                  <w:i w:val="false"/>
                  <w:iCs w:val="false"/>
                </w:rPr>
                <w:t xml:space="preserve">2.4</w:t>
              </w:r>
            </w:fldSimple>
          </w:p>
        </w:tc>
      </w:tr>
      <w:tr>
        <w:tc>
          <w:tcPr>
            <w:tcW w:type="dxa" w:w="2000"/>
            <w:tcMar>
              <w:top w:type="dxa" w:w="60"/>
              <w:left w:type="dxa" w:w="100"/>
              <w:bottom w:type="dxa" w:w="60"/>
              <w:right w:type="dxa" w:w="100"/>
            </w:tcMar>
          </w:tcPr>
          <w:p>
            <w:pPr>
              <w:spacing w:after="0" w:before="0"/>
            </w:pPr>
            <w:r>
              <w:rPr>
                <w:b/>
                <w:bCs/>
                <w:i w:val="false"/>
                <w:iCs w:val="false"/>
              </w:rPr>
              <w:t xml:space="preserve">1.3.1.1.2.2.1</w:t>
            </w:r>
            <w:r>
              <w:rPr>
                <w:b w:val="false"/>
                <w:bCs w:val="false"/>
                <w:i w:val="false"/>
                <w:iCs w:val="false"/>
              </w:rPr>
              <w:t xml:space="preserve"> Card Personalization Management System: issuance workflow, batches, scheduling, print queue, lifecycle, reprint and reissue.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Card Personalization Management System validates each queued record, groups records into configurable batches of 500 to 1,000, releases them under NRB priority rules and tracks every record in the print queue. It holds each card's state across first issuance, replacement, duplicate, re-issuance, renewal and cancellation, and manages in-job reproduction of rejects and reissues after dispatch.</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3&quot;">
              <w:r>
                <w:rPr>
                  <w:rStyle w:val="Hyperlink"/>
                  <w:b w:val="false"/>
                  <w:bCs w:val="false"/>
                  <w:i w:val="false"/>
                  <w:iCs w:val="false"/>
                </w:rPr>
                <w:t xml:space="preserve">2.3</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1.3.1.1.2.2.2</w:t>
            </w:r>
            <w:r>
              <w:rPr>
                <w:b w:val="false"/>
                <w:bCs w:val="false"/>
                <w:i w:val="false"/>
                <w:iCs w:val="false"/>
              </w:rPr>
              <w:t xml:space="preserve"> Laser control software: engraving, grayscale, CLI, QR, microtext, tactile printing and calibration management.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equipment manufacturer's control software drives the laser stations on both card faces, modulates energy density for the grayscale portrait, marks the CLI at two deflection angles, renders the QR symbol from the signed payload, marks micro-text, controls tactile relief passes and calibrates stations individually or together, logging each calibration for audit. [CONFIRM: These functions belong to the manufacturer's software. The S8000 datasheet lists grayscale, CLI/MLI and micro text but not tactile laser printing or calibration management; Inkript to confirm with the OEM.]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Document-5-Technical-Proposal-System-Architecture.docx&quot; \l &quot;sec_6_7&quot;">
              <w:r>
                <w:rPr>
                  <w:rStyle w:val="Hyperlink"/>
                  <w:b w:val="false"/>
                  <w:bCs w:val="false"/>
                  <w:i w:val="false"/>
                  <w:iCs w:val="false"/>
                </w:rPr>
                <w:t xml:space="preserve">6.7</w:t>
              </w:r>
            </w:fldSimple>
            <w:r>
              <w:rPr>
                <w:b w:val="false"/>
                <w:bCs w:val="false"/>
                <w:i w:val="false"/>
                <w:iCs w:val="false"/>
              </w:rPr>
              <w:t xml:space="preserve">; Attachment: S8000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1.3.1.1.2.2.3</w:t>
            </w:r>
            <w:r>
              <w:rPr>
                <w:b w:val="false"/>
                <w:bCs w:val="false"/>
                <w:i w:val="false"/>
                <w:iCs w:val="false"/>
              </w:rPr>
              <w:t xml:space="preserve"> Mailing and Dispatch Management: card-to-envelope matching, carrier letters, insertion, courier integration, tracking, rejects.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Mailing and Dispatch Management System pairs each card identifier with its carrier content and destination, generates personalized carriers, sequences folding, insertion and sealing, and tracks each mail piece to delivery. Diverted pieces are queued for rework. With no courier yet designated, Inkript engages the operator and connects its tracking service through a configured interface. [CONFIRM: The Clarifications to Queries 005 make the Supplier solely responsible for engaging and contracting with postal operators, while </w:t>
            </w:r>
            <w:r>
              <w:rPr>
                <w:b w:val="false"/>
                <w:bCs w:val="false"/>
                <w:i w:val="false"/>
                <w:iCs w:val="false"/>
              </w:rPr>
              <w:t xml:space="preserve">System Architecture Section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r>
              <w:rPr>
                <w:b w:val="false"/>
                <w:bCs w:val="false"/>
                <w:i w:val="false"/>
                <w:iCs w:val="false"/>
              </w:rPr>
              <w:t xml:space="preserve">System Architecture Section </w:t>
            </w:r>
            <w:fldSimple w:instr="HYPERLINK &quot;Document-5-Technical-Proposal-System-Architecture.docx&quot; \l &quot;sec_13_2&quot;">
              <w:r>
                <w:rPr>
                  <w:rStyle w:val="Hyperlink"/>
                  <w:b w:val="false"/>
                  <w:bCs w:val="false"/>
                  <w:i w:val="false"/>
                  <w:iCs w:val="false"/>
                </w:rPr>
                <w:t xml:space="preserve">13.2</w:t>
              </w:r>
            </w:fldSimple>
            <w:r>
              <w:rPr>
                <w:b w:val="false"/>
                <w:bCs w:val="false"/>
                <w:i w:val="false"/>
                <w:iCs w:val="false"/>
              </w:rPr>
              <w:t xml:space="preserve"> commit to engaging the operator and connecting its tracking service but leave physical delivery with NRB. Inkript to confirm the contracting position.]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1.3.1.1.2.2.4</w:t>
            </w:r>
            <w:r>
              <w:rPr>
                <w:b w:val="false"/>
                <w:bCs w:val="false"/>
                <w:i w:val="false"/>
                <w:iCs w:val="false"/>
              </w:rPr>
              <w:t xml:space="preserve"> Production Workflow Engine: orchestration, exception handling, queue prioritization, parallel processing, balancing across machines.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Production Workflow Engine sequences the handoffs between services from preparation to dispatch, holds affected work under defined exception handling, orders queued work when capacity is constrained, runs both personalization and both mailing lines concurrently, and distributes batches across available machines, redirecting work from a machine that becomes unavailable.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1.3.1.1.2.3.1</w:t>
            </w:r>
            <w:r>
              <w:rPr>
                <w:b w:val="false"/>
                <w:bCs w:val="false"/>
                <w:i w:val="false"/>
                <w:iCs w:val="false"/>
              </w:rPr>
              <w:t xml:space="preserve"> Secure integration layer: REST, SOAP, XML/JSON, flat-file, message queues and secure middleware.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integration gateway supports REST APIs, SOAP web services, JSON and XML payloads validated against schemas, delimited or fixed-width flat files by secure file transfer, and message queues. Middleware provides orchestration, routing, exception handling and bounded retry, over TLS with mutual certificate authentication to NRIS. The transport for each exchange is fixed in its Interface Control Document.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w:t>
            </w:r>
            <w:fldSimple w:instr="HYPERLINK &quot;Document-5-Technical-Proposal-System-Architecture.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Document-5-Technical-Proposal-System-Architecture.docx&quot; \l &quot;sec_10_5&quot;">
              <w:r>
                <w:rPr>
                  <w:rStyle w:val="Hyperlink"/>
                  <w:b w:val="false"/>
                  <w:bCs w:val="false"/>
                  <w:i w:val="false"/>
                  <w:iCs w:val="false"/>
                </w:rPr>
                <w:t xml:space="preserve">10.5</w:t>
              </w:r>
            </w:fldSimple>
          </w:p>
        </w:tc>
      </w:tr>
      <w:tr>
        <w:tc>
          <w:tcPr>
            <w:tcW w:type="dxa" w:w="2000"/>
            <w:tcMar>
              <w:top w:type="dxa" w:w="60"/>
              <w:left w:type="dxa" w:w="100"/>
              <w:bottom w:type="dxa" w:w="60"/>
              <w:right w:type="dxa" w:w="100"/>
            </w:tcMar>
          </w:tcPr>
          <w:p>
            <w:pPr>
              <w:spacing w:after="0" w:before="0"/>
            </w:pPr>
            <w:r>
              <w:rPr>
                <w:b/>
                <w:bCs/>
                <w:i w:val="false"/>
                <w:iCs w:val="false"/>
              </w:rPr>
              <w:t xml:space="preserve">1.3.1.1.2.3.2</w:t>
            </w:r>
            <w:r>
              <w:rPr>
                <w:b w:val="false"/>
                <w:bCs w:val="false"/>
                <w:i w:val="false"/>
                <w:iCs w:val="false"/>
              </w:rPr>
              <w:t xml:space="preserve"> Integration with NRIS, database synchronization, external verification, courier and audit systems.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single gateway integrates with the NRIS API the Purchaser provides, as clarified in the Clarifications to Queries 005, with database synchronization where the Purchaser approves. The signed QR code is verifiable offline by external verifiers, courier tracking uses a configured interface, audit records synchronize with NRIS, and security events go to NRB's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1&quot;">
              <w:r>
                <w:rPr>
                  <w:rStyle w:val="Hyperlink"/>
                  <w:b w:val="false"/>
                  <w:bCs w:val="false"/>
                  <w:i w:val="false"/>
                  <w:iCs w:val="false"/>
                </w:rPr>
                <w:t xml:space="preserve">2.1</w:t>
              </w:r>
            </w:fldSimple>
            <w:r>
              <w:rPr>
                <w:b w:val="false"/>
                <w:bCs w:val="false"/>
                <w:i w:val="false"/>
                <w:iCs w:val="false"/>
              </w:rPr>
              <w:t xml:space="preserve">,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w:t>
            </w:r>
            <w:fldSimple w:instr="HYPERLINK &quot;Document-5-Technical-Proposal-System-Architecture.docx&quot; \l &quot;sec_7_5&quot;">
              <w:r>
                <w:rPr>
                  <w:rStyle w:val="Hyperlink"/>
                  <w:b w:val="false"/>
                  <w:bCs w:val="false"/>
                  <w:i w:val="false"/>
                  <w:iCs w:val="false"/>
                </w:rPr>
                <w:t xml:space="preserve">7.5</w:t>
              </w:r>
            </w:fldSimple>
            <w:r>
              <w:rPr>
                <w:b w:val="false"/>
                <w:bCs w:val="false"/>
                <w:i w:val="false"/>
                <w:iCs w:val="false"/>
              </w:rPr>
              <w:t xml:space="preserve">,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1.3.1.1.2.4.1</w:t>
            </w:r>
            <w:r>
              <w:rPr>
                <w:b w:val="false"/>
                <w:bCs w:val="false"/>
                <w:i w:val="false"/>
                <w:iCs w:val="false"/>
              </w:rPr>
              <w:t xml:space="preserve"> Enterprise database: high-volume transactions, ACID, replication, clustering, high availability, encryption at rest, backup.</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SQL Server runs as a two-node cluster on dedicated database hosts over a dual-controller array, giving ACID transactions at production volume and failover without loss of committed work. It replicates to the secondary site within 5 minutes, is encrypted at rest with AES-256, and is backed up full, incremental and differential to immutable storage with point-in-time recovery.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00"/>
            <w:tcMar>
              <w:top w:type="dxa" w:w="60"/>
              <w:left w:type="dxa" w:w="100"/>
              <w:bottom w:type="dxa" w:w="60"/>
              <w:right w:type="dxa" w:w="100"/>
            </w:tcMar>
          </w:tcPr>
          <w:p>
            <w:pPr>
              <w:spacing w:after="0" w:before="0"/>
            </w:pPr>
            <w:r>
              <w:rPr>
                <w:b/>
                <w:bCs/>
                <w:i w:val="false"/>
                <w:iCs w:val="false"/>
              </w:rPr>
              <w:t xml:space="preserve">1.3.1.1.2.4.2</w:t>
            </w:r>
            <w:r>
              <w:rPr>
                <w:b w:val="false"/>
                <w:bCs w:val="false"/>
                <w:i w:val="false"/>
                <w:iCs w:val="false"/>
              </w:rPr>
              <w:t xml:space="preserve"> Data layer manages identity, personalization, production and audit logs, telemetry, mailing and dispatch data.</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One database platform holds identity and personalization data, production logs, audit logs, machine telemetry, and mailing and dispatch data under one backup and retention regime, so a card is traceable across all. As clarified in the Responses to Queries 003, identity data is held only while production requires it, and NRIS remains the system of record.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8&quot;">
              <w:r>
                <w:rPr>
                  <w:rStyle w:val="Hyperlink"/>
                  <w:b w:val="false"/>
                  <w:bCs w:val="false"/>
                  <w:i w:val="false"/>
                  <w:iCs w:val="false"/>
                </w:rPr>
                <w:t xml:space="preserve">7.8</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0_2&quot;">
              <w:r>
                <w:rPr>
                  <w:rStyle w:val="Hyperlink"/>
                  <w:b w:val="false"/>
                  <w:bCs w:val="false"/>
                  <w:i w:val="false"/>
                  <w:iCs w:val="false"/>
                </w:rPr>
                <w:t xml:space="preserve">10.2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1.3.1.1.2.5.1</w:t>
            </w:r>
            <w:r>
              <w:rPr>
                <w:b w:val="false"/>
                <w:bCs w:val="false"/>
                <w:i w:val="false"/>
                <w:iCs w:val="false"/>
              </w:rPr>
              <w:t xml:space="preserve"> Identity and access management: RBAC, MFA, privileged access controls and session management.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System's own directory and single sign-on give each user one identity. Rights are granted to roles, never to individuals; MFA is required for operators, administrators and all privileged access; privileged credentials are held under management and issued just in time for a session and purpose; and session timeouts, concurrent session limits and account lockout are enforced. [CONFIRM: The Responses to Queries 003 say NRB will provide its existing Active Directory for integration, while the Clarifications to Queries 005 require a net-new, self-contained solution using no existing NRB resources. </w:t>
            </w:r>
            <w:r>
              <w:rPr>
                <w:b w:val="false"/>
                <w:bCs w:val="false"/>
                <w:i w:val="false"/>
                <w:iCs w:val="false"/>
              </w:rPr>
              <w:t xml:space="preserve">System Architecture Section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runs the System's own directory. Inkript to confirm whether integration with NRB's Active Directory should also be offered.]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r>
        <w:tc>
          <w:tcPr>
            <w:tcW w:type="dxa" w:w="2000"/>
            <w:tcMar>
              <w:top w:type="dxa" w:w="60"/>
              <w:left w:type="dxa" w:w="100"/>
              <w:bottom w:type="dxa" w:w="60"/>
              <w:right w:type="dxa" w:w="100"/>
            </w:tcMar>
          </w:tcPr>
          <w:p>
            <w:pPr>
              <w:spacing w:after="0" w:before="0"/>
            </w:pPr>
            <w:r>
              <w:rPr>
                <w:b/>
                <w:bCs/>
                <w:i w:val="false"/>
                <w:iCs w:val="false"/>
              </w:rPr>
              <w:t xml:space="preserve">1.3.1.1.2.5.2</w:t>
            </w:r>
            <w:r>
              <w:rPr>
                <w:b w:val="false"/>
                <w:bCs w:val="false"/>
                <w:i w:val="false"/>
                <w:iCs w:val="false"/>
              </w:rPr>
              <w:t xml:space="preserve"> Data security: AES-256, TLS 1.2+, secure API authentication, digital certificates, key management integration.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Personal data is encrypted with AES-256 at rest and TLS 1.2 or higher protects every interface. APIs require mutual certificate or service-credential authentication, with certificates from the Government PKI. The Document Signer key stays in FIPS-validated HSMs integrated with the e-Government PKI, as clarified in the Clarifications to Queries 005.</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4&quot;">
              <w:r>
                <w:rPr>
                  <w:rStyle w:val="Hyperlink"/>
                  <w:b w:val="false"/>
                  <w:bCs w:val="false"/>
                  <w:i w:val="false"/>
                  <w:iCs w:val="false"/>
                </w:rPr>
                <w:t xml:space="preserve">7.4</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and </w:t>
            </w:r>
            <w:fldSimple w:instr="HYPERLINK &quot;Document-5-Technical-Proposal-System-Architecture.docx&quot; \l &quot;sec_10_5&quot;">
              <w:r>
                <w:rPr>
                  <w:rStyle w:val="Hyperlink"/>
                  <w:b w:val="false"/>
                  <w:bCs w:val="false"/>
                  <w:i w:val="false"/>
                  <w:iCs w:val="false"/>
                </w:rPr>
                <w:t xml:space="preserve">10.5</w:t>
              </w:r>
            </w:fldSimple>
          </w:p>
        </w:tc>
      </w:tr>
      <w:tr>
        <w:tc>
          <w:tcPr>
            <w:tcW w:type="dxa" w:w="2000"/>
            <w:tcMar>
              <w:top w:type="dxa" w:w="60"/>
              <w:left w:type="dxa" w:w="100"/>
              <w:bottom w:type="dxa" w:w="60"/>
              <w:right w:type="dxa" w:w="100"/>
            </w:tcMar>
          </w:tcPr>
          <w:p>
            <w:pPr>
              <w:spacing w:after="0" w:before="0"/>
            </w:pPr>
            <w:r>
              <w:rPr>
                <w:b/>
                <w:bCs/>
                <w:i w:val="false"/>
                <w:iCs w:val="false"/>
              </w:rPr>
              <w:t xml:space="preserve">1.3.1.1.2.5.3</w:t>
            </w:r>
            <w:r>
              <w:rPr>
                <w:b w:val="false"/>
                <w:bCs w:val="false"/>
                <w:i w:val="false"/>
                <w:iCs w:val="false"/>
              </w:rPr>
              <w:t xml:space="preserve"> Operational security: audit trails, tamper-proof logs, security event monitoring, intrusion detection integration.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Production actions, user actions and security events are logged, and audit records are written once to storage that no user, administrator included, can alter, with verifiable integrity and ten-year retention. SIEM with user behavior analytics monitors all sources around the clock, and next generation firewalls provide intrusion detection and prevention, alerting NRB's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000"/>
            <w:tcMar>
              <w:top w:type="dxa" w:w="60"/>
              <w:left w:type="dxa" w:w="100"/>
              <w:bottom w:type="dxa" w:w="60"/>
              <w:right w:type="dxa" w:w="100"/>
            </w:tcMar>
          </w:tcPr>
          <w:p>
            <w:pPr>
              <w:spacing w:after="0" w:before="0"/>
            </w:pPr>
            <w:r>
              <w:rPr>
                <w:b/>
                <w:bCs/>
                <w:i w:val="false"/>
                <w:iCs w:val="false"/>
              </w:rPr>
              <w:t xml:space="preserve">1.3.1.1.2.6.1</w:t>
            </w:r>
            <w:r>
              <w:rPr>
                <w:b w:val="false"/>
                <w:bCs w:val="false"/>
                <w:i w:val="false"/>
                <w:iCs w:val="false"/>
              </w:rPr>
              <w:t xml:space="preserve"> Monitoring dashboards, production and machine health, alerting, analytics, SLA, consumables stock, predictive maintenance.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Monitoring, Reporting and Analytics presents the whole facility on one view, with real-time throughput and reject rates, machine health, performance analytics, SLA monitoring and predictive maintenance from error rates and cycle counts. Alerts reach dashboards, email and SMS. Stock Control tracks serialized blanks, carriers, envelopes and other consumables with low-stock alerts, reporting each blank's status to NRIS. [CONFIRM: Predictive maintenance depends on the equipment exposing the needed telemetry (</w:t>
            </w:r>
            <w:r>
              <w:rPr>
                <w:b w:val="false"/>
                <w:bCs w:val="false"/>
                <w:i w:val="false"/>
                <w:iCs w:val="false"/>
              </w:rPr>
              <w:t xml:space="preserve">System Architecture Section </w:t>
            </w:r>
            <w:fldSimple w:instr="HYPERLINK &quot;Document-5-Technical-Proposal-System-Architecture.docx&quot; \l &quot;sec_12_2&quot;">
              <w:r>
                <w:rPr>
                  <w:rStyle w:val="Hyperlink"/>
                  <w:b w:val="false"/>
                  <w:bCs w:val="false"/>
                  <w:i w:val="false"/>
                  <w:iCs w:val="false"/>
                </w:rPr>
                <w:t xml:space="preserve">12.2</w:t>
              </w:r>
            </w:fldSimple>
            <w:r>
              <w:rPr>
                <w:b w:val="false"/>
                <w:bCs w:val="false"/>
                <w:i w:val="false"/>
                <w:iCs w:val="false"/>
              </w:rPr>
              <w:t xml:space="preserve">). Inkript to confirm with both equipment manufacturers.]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1.3.1.1.2.7</w:t>
            </w:r>
            <w:r>
              <w:rPr>
                <w:b w:val="false"/>
                <w:bCs w:val="false"/>
                <w:i w:val="false"/>
                <w:iCs w:val="false"/>
              </w:rPr>
              <w:t xml:space="preserve"> Clustering, automated failover, print job load balancing, backup replication, DR sync, point-in-time recovery, HA database.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active application servers are load balanced across a two-host failover cluster, and the database runs as a two-node high availability cluster, with failover initiated automatically within 60 seconds. Printing jobs are balanced across the lines, backups replicate to immutable storage at the secondary site, the database synchronizes there within 5 minutes, and point-in-time recovery is supported.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00"/>
            <w:tcMar>
              <w:top w:type="dxa" w:w="60"/>
              <w:left w:type="dxa" w:w="100"/>
              <w:bottom w:type="dxa" w:w="60"/>
              <w:right w:type="dxa" w:w="100"/>
            </w:tcMar>
          </w:tcPr>
          <w:p>
            <w:pPr>
              <w:spacing w:after="0" w:before="0"/>
            </w:pPr>
            <w:r>
              <w:rPr>
                <w:b/>
                <w:bCs/>
                <w:i w:val="false"/>
                <w:iCs w:val="false"/>
              </w:rPr>
              <w:t xml:space="preserve">1.3.1.2.1</w:t>
            </w:r>
            <w:r>
              <w:rPr>
                <w:b w:val="false"/>
                <w:bCs w:val="false"/>
                <w:i w:val="false"/>
                <w:iCs w:val="false"/>
              </w:rPr>
              <w:t xml:space="preserve"> Secure, scalable, redundant, enterprise-grade hardware architecture for a mission-critical identity personalization environment.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Clarifications to Queries 005, the estate is net-new: four enterprise servers, each with two 24-core processors and 256 GB, in application and database clusters on a dual-controller RAID 6 array of not less than 20 TB usable after RAID; redundant layer 3 core switches; a high availability firewall pair; one HSM at each site; and an encrypted backup repository and 40 TB of immutable backup storage at each site. The secondary site runs one standalone server on internal storage. Secure boot applies throughout, and capacity grows by adding drives.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9_4&quot;">
              <w:r>
                <w:rPr>
                  <w:rStyle w:val="Hyperlink"/>
                  <w:b w:val="false"/>
                  <w:bCs w:val="false"/>
                  <w:i w:val="false"/>
                  <w:iCs w:val="false"/>
                </w:rPr>
                <w:t xml:space="preserve">9.4</w:t>
              </w:r>
            </w:fldSimple>
          </w:p>
        </w:tc>
      </w:tr>
      <w:tr>
        <w:tc>
          <w:tcPr>
            <w:tcW w:type="dxa" w:w="2000"/>
            <w:tcMar>
              <w:top w:type="dxa" w:w="60"/>
              <w:left w:type="dxa" w:w="100"/>
              <w:bottom w:type="dxa" w:w="60"/>
              <w:right w:type="dxa" w:w="100"/>
            </w:tcMar>
          </w:tcPr>
          <w:p>
            <w:pPr>
              <w:spacing w:after="0" w:before="0"/>
            </w:pPr>
            <w:r>
              <w:rPr>
                <w:b/>
                <w:bCs/>
                <w:i w:val="false"/>
                <w:iCs w:val="false"/>
              </w:rPr>
              <w:t xml:space="preserve">1.3.1.2.2.1.1</w:t>
            </w:r>
            <w:r>
              <w:rPr>
                <w:b w:val="false"/>
                <w:bCs w:val="false"/>
                <w:i w:val="false"/>
                <w:iCs w:val="false"/>
              </w:rPr>
              <w:t xml:space="preserve"> Two modular duplex fiber or diode laser systems, 2,000 cards/hour, grayscale, QR, CLI, independent stations.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modular fiber laser systems mark both faces in one pass, with grayscale, QR and CLI. As clarified in the Response to Clarifications 001, 2,000 cards per hour is the combined rate, at least 1,000 per machine. Each station marks a whole card alone and can leave service without stopping the line, as tested at factory acceptance. [CONFIRM: The S8000 datasheet states up to 2,000 cph. Inkript to confirm each machine sustains at least 1,000 accepted duplex cards per hour with full content (</w:t>
            </w:r>
            <w:r>
              <w:rPr>
                <w:b w:val="false"/>
                <w:bCs w:val="false"/>
                <w:i w:val="false"/>
                <w:iCs w:val="false"/>
              </w:rPr>
              <w:t xml:space="preserve">Preliminary Project Plan Section </w:t>
            </w:r>
            <w:fldSimple w:instr="HYPERLINK &quot;Preliminary-Project-Plan-Information-System-Sub-Plans.docx&quot; \l &quot;sec_2_9&quot;">
              <w:r>
                <w:rPr>
                  <w:rStyle w:val="Hyperlink"/>
                  <w:b w:val="false"/>
                  <w:bCs w:val="false"/>
                  <w:i w:val="false"/>
                  <w:iCs w:val="false"/>
                </w:rPr>
                <w:t xml:space="preserve">2.9</w:t>
              </w:r>
            </w:fldSimple>
            <w:r>
              <w:rPr>
                <w:b w:val="false"/>
                <w:bCs w:val="false"/>
                <w:i w:val="false"/>
                <w:iCs w:val="false"/>
              </w:rPr>
              <w:t xml:space="preserve"> risk R3), and to obtain OEM evidence of independent station operation (Document Register item 1.13).]</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S8000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1.3.1.2.2.1.2</w:t>
            </w:r>
            <w:r>
              <w:rPr>
                <w:b w:val="false"/>
                <w:bCs w:val="false"/>
                <w:i w:val="false"/>
                <w:iCs w:val="false"/>
              </w:rPr>
              <w:t xml:space="preserve"> Line components: engraving units, feeders, transport, reject modules, verification cameras, cooling, compressors, control PCs.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line comprises a 600-card feeder, positionally controlled card transport, integrated laser engraving units, verification cameras and scanners reading OCR text and codes on both faces, a card reject module, an integrated laser cooling system, an air compressor for pneumatic handling, a 600-card stacker and an industrial control PC running the machine software. [CONFIRM: The S8000 datasheet shows no cooling or air compressor detail and lists vision inspection as an option, which must be ordered. The dedicated power and air pressure document with the compressor specification (Document Register item 1.4) is needed from the OEM.]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Attachment: S8000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1.3.1.2.2.1.3</w:t>
            </w:r>
            <w:r>
              <w:rPr>
                <w:b w:val="false"/>
                <w:bCs w:val="false"/>
                <w:i w:val="false"/>
                <w:iCs w:val="false"/>
              </w:rPr>
              <w:t xml:space="preserve"> Two automated mailing systems: insertion, carrier printing, affixing, barcode/QR verification, rejects, buffers, sorting, 2,000/hour.</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automated mailing lines each read the card identifier, print the personalized carrier, affix one to four cards, verify card and carrier by 1D, 2D or QR code, fold, insert and seal. Reject magazines, buffer modules and destination sorting are included. As clarified in the Clarifications to Queries 005, combined capacity is 2,000 single-card mailers per hour. [CONFIRM: The MS1000 datasheet rates up to 1,000 cph per machine with no margin, lists the reading station as optional, and does not show sealing, buffer modules or dispatch sorting. Inkript to confirm the configuration and rate with the OEM.]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and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Attachment: MS1000 mailing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1.3.1.2.2.1.4</w:t>
            </w:r>
            <w:r>
              <w:rPr>
                <w:b w:val="false"/>
                <w:bCs w:val="false"/>
                <w:i w:val="false"/>
                <w:iCs w:val="false"/>
              </w:rPr>
              <w:t xml:space="preserve"> Disaster recovery: primary and secondary environments, backup replication, offsite backup storage, DR synchronization.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04 and the Clarifications to Queries 005, Inkript equips the existing NRB disaster recovery site in Blantyre with a secondary environment, operational at Operational Acceptance, holding on one standalone server a replicated database within 5 minutes of the primary and standby virtual machines, with a replicated HSM and encrypted, immutable offsite backup copies, linked over an encrypted tunnel.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1&quot;">
              <w:r>
                <w:rPr>
                  <w:rStyle w:val="Hyperlink"/>
                  <w:b w:val="false"/>
                  <w:bCs w:val="false"/>
                  <w:i w:val="false"/>
                  <w:iCs w:val="false"/>
                </w:rPr>
                <w:t xml:space="preserve">8.1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5&quot;">
              <w:r>
                <w:rPr>
                  <w:rStyle w:val="Hyperlink"/>
                  <w:b w:val="false"/>
                  <w:bCs w:val="false"/>
                  <w:i w:val="false"/>
                  <w:iCs w:val="false"/>
                </w:rPr>
                <w:t xml:space="preserve">2.5</w:t>
              </w:r>
            </w:fldSimple>
          </w:p>
        </w:tc>
      </w:tr>
      <w:tr>
        <w:tc>
          <w:tcPr>
            <w:tcW w:type="dxa" w:w="2000"/>
            <w:tcMar>
              <w:top w:type="dxa" w:w="60"/>
              <w:left w:type="dxa" w:w="100"/>
              <w:bottom w:type="dxa" w:w="60"/>
              <w:right w:type="dxa" w:w="100"/>
            </w:tcMar>
          </w:tcPr>
          <w:p>
            <w:pPr>
              <w:spacing w:after="0" w:before="0"/>
            </w:pPr>
            <w:r>
              <w:rPr>
                <w:b/>
                <w:bCs/>
                <w:i w:val="false"/>
                <w:iCs w:val="false"/>
              </w:rPr>
              <w:t xml:space="preserve">1.3.1.2.2.1.5</w:t>
            </w:r>
            <w:r>
              <w:rPr>
                <w:b w:val="false"/>
                <w:bCs w:val="false"/>
                <w:i w:val="false"/>
                <w:iCs w:val="false"/>
              </w:rPr>
              <w:t xml:space="preserve"> Facility infrastructure: power (UPS, generator, ATS, PDUs, grounding), environmental and physical security systems.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facility works provide UPS, generator with automatic transfer, power distribution with rack PDUs and grounding; air conditioning with humidity control, precision cooling, air filtration and environmental monitoring linked to alerting; and biometric access control, CCTV, intrusion detection and clean agent fire suppression. As clarified in the Responses to Queries 003, none relies on existing site infrastructure. [GAP: </w:t>
            </w: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states the provisions, but the proposal documents hold no facility design, ratings or product specifications for the UPS, generator, ATS, HVAC, CCTV, access control or fire suppression. These come from the facility works and should be added or attached.]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2000"/>
            <w:tcMar>
              <w:top w:type="dxa" w:w="60"/>
              <w:left w:type="dxa" w:w="100"/>
              <w:bottom w:type="dxa" w:w="60"/>
              <w:right w:type="dxa" w:w="100"/>
            </w:tcMar>
          </w:tcPr>
          <w:p>
            <w:pPr>
              <w:spacing w:after="0" w:before="0"/>
            </w:pPr>
            <w:r>
              <w:rPr>
                <w:b/>
                <w:bCs/>
                <w:i w:val="false"/>
                <w:iCs w:val="false"/>
              </w:rPr>
              <w:t xml:space="preserve">1.3.1.3.1</w:t>
            </w:r>
            <w:r>
              <w:rPr>
                <w:b w:val="false"/>
                <w:bCs w:val="false"/>
                <w:i w:val="false"/>
                <w:iCs w:val="false"/>
              </w:rPr>
              <w:t xml:space="preserve"> Network with segregated External Integration, DMZ, Application, Database, Machine Control, Management zones.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six zones are among ten segregated zones, each its own VLAN, which add the User Network, Management Network, Storage Zone and Backup Zone; the Management zone is the Management and Monitoring Zone. Traffic between zones is routed only through the next generation firewall pair under zone policy and intrusion prevention, and the Storage Zone is not routed. The DMZ is provisioned with policy and addressing but carries no service at go-live, and the machine lines connect through the edge switch stack on Machine Control Zone ports, reached only through the firewall pair.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9_2&quot;">
              <w:r>
                <w:rPr>
                  <w:rStyle w:val="Hyperlink"/>
                  <w:b w:val="false"/>
                  <w:bCs w:val="false"/>
                  <w:i w:val="false"/>
                  <w:iCs w:val="false"/>
                </w:rPr>
                <w:t xml:space="preserve">9.2</w:t>
              </w:r>
            </w:fldSimple>
          </w:p>
        </w:tc>
      </w:tr>
      <w:tr>
        <w:tc>
          <w:tcPr>
            <w:tcW w:type="dxa" w:w="2000"/>
            <w:tcMar>
              <w:top w:type="dxa" w:w="60"/>
              <w:left w:type="dxa" w:w="100"/>
              <w:bottom w:type="dxa" w:w="60"/>
              <w:right w:type="dxa" w:w="100"/>
            </w:tcMar>
          </w:tcPr>
          <w:p>
            <w:pPr>
              <w:spacing w:after="0" w:before="0"/>
            </w:pPr>
            <w:r>
              <w:rPr>
                <w:b/>
                <w:bCs/>
                <w:i w:val="false"/>
                <w:iCs w:val="false"/>
              </w:rPr>
              <w:t xml:space="preserve">1.3.1.3.2</w:t>
            </w:r>
            <w:r>
              <w:rPr>
                <w:b w:val="false"/>
                <w:bCs w:val="false"/>
                <w:i w:val="false"/>
                <w:iCs w:val="false"/>
              </w:rPr>
              <w:t xml:space="preserve"> Network supports VLAN segmentation, firewall isolation, secure remote administration and encrypted communications.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zone is its own VLAN, isolated by firewall policy with no zone reachable by default. Remote administration arrives through access arranged with NRB and e-Government, as clarified in the Responses to Queries 003, encrypted to the firewall pair, authenticated with MFA and limited to the administrative access host. TLS 1.2 or higher protects all communications.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bl>
    <w:p>
      <w:pPr>
        <w:spacing w:after="140"/>
      </w:pPr>
    </w:p>
    <w:p>
      <w:pPr>
        <w:pStyle w:val="Heading2"/>
        <w:numPr>
          <w:ilvl w:val="1"/>
          <w:numId w:val="2"/>
        </w:numPr>
        <w:spacing w:after="140" w:before="260"/>
      </w:pPr>
      <w:r>
        <w:t xml:space="preserve">S</w:t>
      </w:r>
      <w:bookmarkStart w:name="sec_1_4" w:id="1"/>
      <w:r>
        <w:rPr>
          <w:b w:val="false"/>
          <w:bCs w:val="false"/>
          <w:i w:val="false"/>
          <w:iCs w:val="false"/>
        </w:rPr>
        <w:t xml:space="preserve">ystems administration and management functions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130"/>
        <w:gridCol w:w="200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13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890"/>
            <w:tcMar>
              <w:top w:type="dxa" w:w="60"/>
              <w:left w:type="dxa" w:w="100"/>
              <w:bottom w:type="dxa" w:w="60"/>
              <w:right w:type="dxa" w:w="100"/>
            </w:tcMar>
          </w:tcPr>
          <w:p>
            <w:pPr>
              <w:spacing w:after="0" w:before="0"/>
            </w:pPr>
            <w:r>
              <w:rPr>
                <w:b/>
                <w:bCs/>
                <w:i w:val="false"/>
                <w:iCs w:val="false"/>
              </w:rPr>
              <w:t xml:space="preserve">1.4.1.2</w:t>
            </w:r>
            <w:r>
              <w:rPr>
                <w:b w:val="false"/>
                <w:bCs w:val="false"/>
                <w:i w:val="false"/>
                <w:iCs w:val="false"/>
              </w:rPr>
              <w:t xml:space="preserve"> Controlled installation, configuration, change management and configuration governance for all hardware, software, middleware and security components.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Repeatable, guided installation applies hardened baseline templates for servers, databases, personalization and mailing machines, and versioned configuration with protected parameters is deployed centrally to development, training, user acceptance testing and production. Changes pass role-separated request, approve, implement and verify steps with logging, impact analysis, rollback, versioned releases, maintenance windows, reviewed emergency changes and drift detection against approved baselines.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r>
              <w:rPr>
                <w:b w:val="false"/>
                <w:bCs w:val="false"/>
                <w:i w:val="false"/>
                <w:iCs w:val="false"/>
              </w:rPr>
              <w:t xml:space="preserve">; </w:t>
            </w:r>
            <w:r>
              <w:rPr>
                <w:b w:val="false"/>
                <w:bCs w:val="false"/>
                <w:i w:val="false"/>
                <w:iCs w:val="false"/>
              </w:rPr>
              <w:t xml:space="preserve">Change Management Plan Sections </w:t>
            </w:r>
            <w:fldSimple w:instr="HYPERLINK &quot;Change-Management-Plan.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Change-Management-Plan.docx&quot; \l &quot;sec_5_2&quot;">
              <w:r>
                <w:rPr>
                  <w:rStyle w:val="Hyperlink"/>
                  <w:b w:val="false"/>
                  <w:bCs w:val="false"/>
                  <w:i w:val="false"/>
                  <w:iCs w:val="false"/>
                </w:rPr>
                <w:t xml:space="preserve">5.2</w:t>
              </w:r>
            </w:fldSimple>
          </w:p>
        </w:tc>
      </w:tr>
      <w:tr>
        <w:tc>
          <w:tcPr>
            <w:tcW w:type="dxa" w:w="1890"/>
            <w:tcMar>
              <w:top w:type="dxa" w:w="60"/>
              <w:left w:type="dxa" w:w="100"/>
              <w:bottom w:type="dxa" w:w="60"/>
              <w:right w:type="dxa" w:w="100"/>
            </w:tcMar>
          </w:tcPr>
          <w:p>
            <w:pPr>
              <w:spacing w:after="0" w:before="0"/>
            </w:pPr>
            <w:r>
              <w:rPr>
                <w:b/>
                <w:bCs/>
                <w:i w:val="false"/>
                <w:iCs w:val="false"/>
              </w:rPr>
              <w:t xml:space="preserve">1.4.1.3</w:t>
            </w:r>
            <w:r>
              <w:rPr>
                <w:b w:val="false"/>
                <w:bCs w:val="false"/>
                <w:i w:val="false"/>
                <w:iCs w:val="false"/>
              </w:rPr>
              <w:t xml:space="preserve"> Real-time monitoring, diagnostics, troubleshooting and performance monitoring across the personalization and mailing environment.</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Real-time dashboards monitor line throughput, mailing, servers, database, network, storage, temperature, humidity, power and UPS 24/7, with threshold alerts by dashboard, email and SMS and escalation. Tools include diagnostics, self-checks, error code interpretation, predictive analytics, guided workflows, log aggregation, event correlation, root cause analysis, remote troubleshooting, fault simulation and automatic ticketing, with SLA, capacity and historical trend reporting.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1890"/>
            <w:tcMar>
              <w:top w:type="dxa" w:w="60"/>
              <w:left w:type="dxa" w:w="100"/>
              <w:bottom w:type="dxa" w:w="60"/>
              <w:right w:type="dxa" w:w="100"/>
            </w:tcMar>
          </w:tcPr>
          <w:p>
            <w:pPr>
              <w:spacing w:after="0" w:before="0"/>
            </w:pPr>
            <w:r>
              <w:rPr>
                <w:b/>
                <w:bCs/>
                <w:i w:val="false"/>
                <w:iCs w:val="false"/>
              </w:rPr>
              <w:t xml:space="preserve">1.4.1.4</w:t>
            </w:r>
            <w:r>
              <w:rPr>
                <w:b w:val="false"/>
                <w:bCs w:val="false"/>
                <w:i w:val="false"/>
                <w:iCs w:val="false"/>
              </w:rPr>
              <w:t xml:space="preserve"> User administration, access control, user activity monitoring and immutable audit trails for secure operations.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One console provisions, modifies and deactivates accounts under role-based access for operators, supervisors, administrators, security administrators and auditors, with MFA, PAM, time-bound access, least privilege, separation of duties, context-aware restrictions, session timeout, lockout and NIST SP 800-63B passwords. Every action is logged, behavior analytics flag anomalies, and audit trails are tamper-proof, time-stamped, searchable, exportable and retained ten years.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1890"/>
            <w:tcMar>
              <w:top w:type="dxa" w:w="60"/>
              <w:left w:type="dxa" w:w="100"/>
              <w:bottom w:type="dxa" w:w="60"/>
              <w:right w:type="dxa" w:w="100"/>
            </w:tcMar>
          </w:tcPr>
          <w:p>
            <w:pPr>
              <w:spacing w:after="0" w:before="0"/>
            </w:pPr>
            <w:r>
              <w:rPr>
                <w:b/>
                <w:bCs/>
                <w:i w:val="false"/>
                <w:iCs w:val="false"/>
              </w:rPr>
              <w:t xml:space="preserve">1.4.1.5</w:t>
            </w:r>
            <w:r>
              <w:rPr>
                <w:b w:val="false"/>
                <w:bCs w:val="false"/>
                <w:i w:val="false"/>
                <w:iCs w:val="false"/>
              </w:rPr>
              <w:t xml:space="preserve"> Cybersecurity framework covering security features, information controls, enforced policies, security monitoring, incident response and vulnerability management.</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Supplied FIPS-validated HSMs sign each card's QR code using the e-Government PKI (Clarifications to Queries 005). Controls include AES-256 and TLS encryption, secure boot, segmentation, next generation firewalls with IPS, EDR, API authentication, data classification, masking, key lifecycle, export control, dual-custody card destruction, eight enforced policies, SIEM, incident workflows, forensics, scanning, penetration testing, automated patching and compliance dashboards. [CONFIRM: Secure boot is stated for the hosts, virtual machines, backup storage and workstations, and signed firmware for the network, storage and security devices, but not for the equipment manufacturer's industrial control PCs on the personalization and mailing lines. The clause says all servers and devices, so Inkript to confirm secure boot on those PCs with the manufacturer.]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2_2&quot;">
              <w:r>
                <w:rPr>
                  <w:rStyle w:val="Hyperlink"/>
                  <w:b w:val="false"/>
                  <w:bCs w:val="false"/>
                  <w:i w:val="false"/>
                  <w:iCs w:val="false"/>
                </w:rPr>
                <w:t xml:space="preserve">2.2</w:t>
              </w:r>
            </w:fldSimple>
            <w:r>
              <w:rPr>
                <w:b w:val="false"/>
                <w:bCs w:val="false"/>
                <w:i w:val="false"/>
                <w:iCs w:val="false"/>
              </w:rPr>
              <w:t xml:space="preserve"> and </w:t>
            </w:r>
            <w:fldSimple w:instr="HYPERLINK &quot;Cybersecurity-Risk-Management-Plan.docx&quot; \l &quot;sec_7_2&quot;">
              <w:r>
                <w:rPr>
                  <w:rStyle w:val="Hyperlink"/>
                  <w:b w:val="false"/>
                  <w:bCs w:val="false"/>
                  <w:i w:val="false"/>
                  <w:iCs w:val="false"/>
                </w:rPr>
                <w:t xml:space="preserve">7.2</w:t>
              </w:r>
            </w:fldSimple>
          </w:p>
        </w:tc>
      </w:tr>
      <w:tr>
        <w:tc>
          <w:tcPr>
            <w:tcW w:type="dxa" w:w="1890"/>
            <w:tcMar>
              <w:top w:type="dxa" w:w="60"/>
              <w:left w:type="dxa" w:w="100"/>
              <w:bottom w:type="dxa" w:w="60"/>
              <w:right w:type="dxa" w:w="100"/>
            </w:tcMar>
          </w:tcPr>
          <w:p>
            <w:pPr>
              <w:spacing w:after="0" w:before="0"/>
            </w:pPr>
            <w:r>
              <w:rPr>
                <w:b/>
                <w:bCs/>
                <w:i w:val="false"/>
                <w:iCs w:val="false"/>
              </w:rPr>
              <w:t xml:space="preserve">1.4.1.6</w:t>
            </w:r>
            <w:r>
              <w:rPr>
                <w:b w:val="false"/>
                <w:bCs w:val="false"/>
                <w:i w:val="false"/>
                <w:iCs w:val="false"/>
              </w:rPr>
              <w:t xml:space="preserve"> Automated backup, backup management, disaster recovery, DR testing and guided system restoration capabilities.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Veeam Backup &amp; Replication manages scheduled, encrypted, verified full, incremental and differential database, configuration, application and audit log backups, which replicate to immutable offsite storage, with retention policy and failure alerts. Hosts fail over automatically; the warm standby is invoked by documented procedure, at Supplier-defined RTO 5 to 15 minutes and RPO 5 minutes. Annual drills verify integrity; restoration is guided, granular and point-in-time. [CONFIRM: The clause aims at uninterrupted card production, but the secondary environment carries only the data and application services: it has no personalization or mailing equipment, so a loss of the primary site stops card production until that site is restored. Inkript to confirm this position, which also applies to clause 1.5.2.6. Clarifications to Queries 005 leaves the RTO and RPO for the Supplier to define and agree with the Purchaser, and the figures are still to be agreed during design.]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8_1&quot;">
              <w:r>
                <w:rPr>
                  <w:rStyle w:val="Hyperlink"/>
                  <w:b w:val="false"/>
                  <w:bCs w:val="false"/>
                  <w:i w:val="false"/>
                  <w:iCs w:val="false"/>
                </w:rPr>
                <w:t xml:space="preserve">8.1</w:t>
              </w:r>
            </w:fldSimple>
            <w:r>
              <w:rPr>
                <w:b w:val="false"/>
                <w:bCs w:val="false"/>
                <w:i w:val="false"/>
                <w:iCs w:val="false"/>
              </w:rPr>
              <w:t xml:space="preserve"> and </w:t>
            </w:r>
            <w:fldSimple w:instr="HYPERLINK &quot;Cybersecurity-Risk-Management-Plan.docx&quot; \l &quot;sec_8_2&quot;">
              <w:r>
                <w:rPr>
                  <w:rStyle w:val="Hyperlink"/>
                  <w:b w:val="false"/>
                  <w:bCs w:val="false"/>
                  <w:i w:val="false"/>
                  <w:iCs w:val="false"/>
                </w:rPr>
                <w:t xml:space="preserve">8.2</w:t>
              </w:r>
            </w:fldSimple>
          </w:p>
        </w:tc>
      </w:tr>
    </w:tbl>
    <w:p>
      <w:pPr>
        <w:spacing w:after="140"/>
      </w:pPr>
    </w:p>
    <w:p>
      <w:pPr>
        <w:pStyle w:val="Heading2"/>
        <w:numPr>
          <w:ilvl w:val="1"/>
          <w:numId w:val="2"/>
        </w:numPr>
        <w:spacing w:after="140" w:before="260"/>
      </w:pPr>
      <w:r>
        <w:t xml:space="preserve">P</w:t>
      </w:r>
      <w:bookmarkStart w:name="sec_1_5" w:id="1"/>
      <w:r>
        <w:rPr>
          <w:b w:val="false"/>
          <w:bCs w:val="false"/>
          <w:i w:val="false"/>
          <w:iCs w:val="false"/>
        </w:rPr>
        <w:t xml:space="preserve">erformance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1.5.1</w:t>
            </w:r>
            <w:r>
              <w:rPr>
                <w:b w:val="false"/>
                <w:bCs w:val="false"/>
                <w:i w:val="false"/>
                <w:iCs w:val="false"/>
              </w:rPr>
              <w:t xml:space="preserve"> Guarantee the system meets minimum performance requirements under normal and peak operating conditions.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Inkript guarantees the throughput, response time, concurrency and data volume figures of clause 1.5.2 under normal and peak load, on a platform sized from those figures. Each figure is verified by throughput benchmark, load, stress, transaction integrity, sustained operation and failover testing before Operational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5&quot;">
              <w:r>
                <w:rPr>
                  <w:rStyle w:val="Hyperlink"/>
                  <w:b w:val="false"/>
                  <w:bCs w:val="false"/>
                  <w:i w:val="false"/>
                  <w:iCs w:val="false"/>
                </w:rPr>
                <w:t xml:space="preserve">11.5</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000"/>
            <w:tcMar>
              <w:top w:type="dxa" w:w="60"/>
              <w:left w:type="dxa" w:w="100"/>
              <w:bottom w:type="dxa" w:w="60"/>
              <w:right w:type="dxa" w:w="100"/>
            </w:tcMar>
          </w:tcPr>
          <w:p>
            <w:pPr>
              <w:spacing w:after="0" w:before="0"/>
            </w:pPr>
            <w:r>
              <w:rPr>
                <w:b/>
                <w:bCs/>
                <w:i w:val="false"/>
                <w:iCs w:val="false"/>
              </w:rPr>
              <w:t xml:space="preserve">1.5.2.1.1</w:t>
            </w:r>
            <w:r>
              <w:rPr>
                <w:b w:val="false"/>
                <w:bCs w:val="false"/>
                <w:i w:val="false"/>
                <w:iCs w:val="false"/>
              </w:rPr>
              <w:t xml:space="preserve"> Continuous throughput of 28,000 cards per day in two shifts, 500 to 1,000 card batches, 24/7 capability.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lines of not less than 1,000 cards per hour each produce 28,000 cards in the two seven-hour shifts set by Responses to Queries 003, a window extendable for peak demand. Batches are configurable at 500 to 1,000 cards. The equipment is rated for 24/7 operation, with no degradation over sustained 8 to 12 hour cycles. [CONFIRM: Responses to Queries 003 states that throughput is measured on accepted finished cards, while </w:t>
            </w: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measures cards per hour without stating that basis. At the contractual rate, two lines over fourteen hours give exactly 28,000 cards, so any reject brings accepted output below the daily figure unless the lines run above 1,000 cards per hour. Inkript to align the measurement basis and confirm with the manufacturer the sustained accepted-card rate with the full duplex content.]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Attachment: S8000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1.5.2.1.2</w:t>
            </w:r>
            <w:r>
              <w:rPr>
                <w:b w:val="false"/>
                <w:bCs w:val="false"/>
                <w:i w:val="false"/>
                <w:iCs w:val="false"/>
              </w:rPr>
              <w:t xml:space="preserve"> Minimum 1,000 cards per hour per line, simultaneous multi-line operation, non-stop reject and reprint.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personalization line delivers not less than 1,000 cards per hour, the per-machine minimum confirmed in Responses to Clarifications 001, against a rated speed of up to 2,000 in the manufacturer's datasheet. Both lines run concurrently on the same or different jobs, and rejected cards are diverted and reproduced within the job without stopping the flow. [CONFIRM: The datasheet figure of 2,000 cards per hour is a maximum ('up to'), not a measured sustained rate. Inkript to obtain the manufacturer's throughput test record for duplex personalization with the full card content before relying on the margin.]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Attachment: S8000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1.5.2.1.3</w:t>
            </w:r>
            <w:r>
              <w:rPr>
                <w:b w:val="false"/>
                <w:bCs w:val="false"/>
                <w:i w:val="false"/>
                <w:iCs w:val="false"/>
              </w:rPr>
              <w:t xml:space="preserve"> 28,000 envelopes per day with two machines in two shifts, matching, sealing, sorting, zero backlog.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mailing lines of not less than 1,000 mailers per hour each produce 28,000 envelopes in two seven-hour shifts, on the single-card basis stated in Clarifications to Queries 005. Each card is read twice and matched to its carrier by identifier, then inserted, sealed and sorted by destination in line, and matched capacity with buffer modules prevents backlog. [CONFIRM: The attached mailing system datasheet rates the machine at 'up to 1000 cph', exactly the contractual minimum per machine, which leaves no margin for rejects, stoppages or multi-card mailers, while operational acceptance test 4 requires 95 percent of nominal capacity at peak. The datasheet also describes the model as ideal for small to medium volumes. Inkript to confirm the sustained rate with the manufacturer or consider a higher-rated model.]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Attachment: MS1000 card mailing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1.5.2.2.1</w:t>
            </w:r>
            <w:r>
              <w:rPr>
                <w:b w:val="false"/>
                <w:bCs w:val="false"/>
                <w:i w:val="false"/>
                <w:iCs w:val="false"/>
              </w:rPr>
              <w:t xml:space="preserve"> Application response times: interface 2 s, transactions and search 3 s, jobs 5 s, reports 10/60 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Under production load, standard queries respond within 2 seconds, transaction initiation and search within 3 seconds, job submission within 5 seconds, and standard and complex reports within 10 and 60 seconds. Status changes are pushed to interfaces as they are recorded, and load testing verifies each threshold before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11_2&quot;">
              <w:r>
                <w:rPr>
                  <w:rStyle w:val="Hyperlink"/>
                  <w:b w:val="false"/>
                  <w:bCs w:val="false"/>
                  <w:i w:val="false"/>
                  <w:iCs w:val="false"/>
                </w:rPr>
                <w:t xml:space="preserve">11.2</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1.5.2.2.2</w:t>
            </w:r>
            <w:r>
              <w:rPr>
                <w:b w:val="false"/>
                <w:bCs w:val="false"/>
                <w:i w:val="false"/>
                <w:iCs w:val="false"/>
              </w:rPr>
              <w:t xml:space="preserve"> Batch initiation 30 s, identity validation 2 to 5 s, near real-time encoding, 2 s commits.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Batch jobs initiate within 30 seconds, identity records are validated within 2 to 5 seconds, laser encoding of a released job starts in near real time, and database transactions commit within 2 seconds under normal load on dedicated clustered database hosts. Load testing verifies each figure.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2&quot;">
              <w:r>
                <w:rPr>
                  <w:rStyle w:val="Hyperlink"/>
                  <w:b w:val="false"/>
                  <w:bCs w:val="false"/>
                  <w:i w:val="false"/>
                  <w:iCs w:val="false"/>
                </w:rPr>
                <w:t xml:space="preserve">11.2</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000"/>
            <w:tcMar>
              <w:top w:type="dxa" w:w="60"/>
              <w:left w:type="dxa" w:w="100"/>
              <w:bottom w:type="dxa" w:w="60"/>
              <w:right w:type="dxa" w:w="100"/>
            </w:tcMar>
          </w:tcPr>
          <w:p>
            <w:pPr>
              <w:spacing w:after="0" w:before="0"/>
            </w:pPr>
            <w:r>
              <w:rPr>
                <w:b/>
                <w:bCs/>
                <w:i w:val="false"/>
                <w:iCs w:val="false"/>
              </w:rPr>
              <w:t xml:space="preserve">1.5.2.2.3</w:t>
            </w:r>
            <w:r>
              <w:rPr>
                <w:b w:val="false"/>
                <w:bCs w:val="false"/>
                <w:i w:val="false"/>
                <w:iCs w:val="false"/>
              </w:rPr>
              <w:t xml:space="preserve"> Automatic failover within 60 seconds, full recovery in 5 to 15 minutes, DR lag 5 minutes.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Clustered application and database hosts fail over automatically within 60 seconds, full service recovers within 5 to 15 minutes, and replication keeps the secondary environment at the Purchaser's Blantyre data center within 5 minutes of production. Failover is tested by removing hosts and failing over to the secondary environment in pre-commissioning, operational acceptance and annually. [CONFIRM: The 5 minute synchronization depends on the bandwidth and latency of the Government Wide Area Network link, which the Purchaser provisions against the Supplier's stated requirements (Responses to Queries 04). Inkript to state the required link figures during design.]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1&quot;">
              <w:r>
                <w:rPr>
                  <w:rStyle w:val="Hyperlink"/>
                  <w:b w:val="false"/>
                  <w:bCs w:val="false"/>
                  <w:i w:val="false"/>
                  <w:iCs w:val="false"/>
                </w:rPr>
                <w:t xml:space="preserve">8.1</w:t>
              </w:r>
            </w:fldSimple>
          </w:p>
        </w:tc>
      </w:tr>
      <w:tr>
        <w:tc>
          <w:tcPr>
            <w:tcW w:type="dxa" w:w="2000"/>
            <w:tcMar>
              <w:top w:type="dxa" w:w="60"/>
              <w:left w:type="dxa" w:w="100"/>
              <w:bottom w:type="dxa" w:w="60"/>
              <w:right w:type="dxa" w:w="100"/>
            </w:tcMar>
          </w:tcPr>
          <w:p>
            <w:pPr>
              <w:spacing w:after="0" w:before="0"/>
            </w:pPr>
            <w:r>
              <w:rPr>
                <w:b/>
                <w:bCs/>
                <w:i w:val="false"/>
                <w:iCs w:val="false"/>
              </w:rPr>
              <w:t xml:space="preserve">1.5.2.3.1</w:t>
            </w:r>
            <w:r>
              <w:rPr>
                <w:b w:val="false"/>
                <w:bCs w:val="false"/>
                <w:i w:val="false"/>
                <w:iCs w:val="false"/>
              </w:rPr>
              <w:t xml:space="preserve"> Minimum 10 to 20 concurrent users, scalable to 100 without performance degradation.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platform is sized for 100 concurrent users from Operational Acceptance, above the 10 to 20 minimum restated in Clarifications to Queries 005, across two active load-balanced application servers each able to carry the full load. Stress testing validates 100 users and beyond, and capacity is added to the cluster without redesign.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3&quot;">
              <w:r>
                <w:rPr>
                  <w:rStyle w:val="Hyperlink"/>
                  <w:b w:val="false"/>
                  <w:bCs w:val="false"/>
                  <w:i w:val="false"/>
                  <w:iCs w:val="false"/>
                </w:rPr>
                <w:t xml:space="preserve">11.3</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000"/>
            <w:tcMar>
              <w:top w:type="dxa" w:w="60"/>
              <w:left w:type="dxa" w:w="100"/>
              <w:bottom w:type="dxa" w:w="60"/>
              <w:right w:type="dxa" w:w="100"/>
            </w:tcMar>
          </w:tcPr>
          <w:p>
            <w:pPr>
              <w:spacing w:after="0" w:before="0"/>
            </w:pPr>
            <w:r>
              <w:rPr>
                <w:b/>
                <w:bCs/>
                <w:i w:val="false"/>
                <w:iCs w:val="false"/>
              </w:rPr>
              <w:t xml:space="preserve">1.5.2.3.2</w:t>
            </w:r>
            <w:r>
              <w:rPr>
                <w:b w:val="false"/>
                <w:bCs w:val="false"/>
                <w:i w:val="false"/>
                <w:iCs w:val="false"/>
              </w:rPr>
              <w:t xml:space="preserve"> Concurrent support for operators, supervisors, administrators, QA, auditors, management and API consumers.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Card operators, supervisors, system administrators, quality assurance personnel, security auditors, management and external API consumers work concurrently, each through a role-based interface showing only the functions and data the role grants, from the production consoles to the audit interface and the authenticated service interfaces.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1_3&quot;">
              <w:r>
                <w:rPr>
                  <w:rStyle w:val="Hyperlink"/>
                  <w:b w:val="false"/>
                  <w:bCs w:val="false"/>
                  <w:i w:val="false"/>
                  <w:iCs w:val="false"/>
                </w:rPr>
                <w:t xml:space="preserve">11.3</w:t>
              </w:r>
            </w:fldSimple>
          </w:p>
        </w:tc>
      </w:tr>
      <w:tr>
        <w:tc>
          <w:tcPr>
            <w:tcW w:type="dxa" w:w="2000"/>
            <w:tcMar>
              <w:top w:type="dxa" w:w="60"/>
              <w:left w:type="dxa" w:w="100"/>
              <w:bottom w:type="dxa" w:w="60"/>
              <w:right w:type="dxa" w:w="100"/>
            </w:tcMar>
          </w:tcPr>
          <w:p>
            <w:pPr>
              <w:spacing w:after="0" w:before="0"/>
            </w:pPr>
            <w:r>
              <w:rPr>
                <w:b/>
                <w:bCs/>
                <w:i w:val="false"/>
                <w:iCs w:val="false"/>
              </w:rPr>
              <w:t xml:space="preserve">1.5.2.3.3</w:t>
            </w:r>
            <w:r>
              <w:rPr>
                <w:b w:val="false"/>
                <w:bCs w:val="false"/>
                <w:i w:val="false"/>
                <w:iCs w:val="false"/>
              </w:rPr>
              <w:t xml:space="preserve"> Configurable concurrent sessions and timeouts per role, with load balancing across application servers.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Concurrent session limits and session timeouts are configurable per role, an unattended session locks at its role's timeout, and application traffic is load balanced across two active application servers kept on different hosts.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and </w:t>
            </w:r>
            <w:fldSimple w:instr="HYPERLINK &quot;Document-5-Technical-Proposal-System-Architecture.docx&quot; \l &quot;sec_11_3&quot;">
              <w:r>
                <w:rPr>
                  <w:rStyle w:val="Hyperlink"/>
                  <w:b w:val="false"/>
                  <w:bCs w:val="false"/>
                  <w:i w:val="false"/>
                  <w:iCs w:val="false"/>
                </w:rPr>
                <w:t xml:space="preserve">11.3</w:t>
              </w:r>
            </w:fldSimple>
          </w:p>
        </w:tc>
      </w:tr>
      <w:tr>
        <w:tc>
          <w:tcPr>
            <w:tcW w:type="dxa" w:w="2000"/>
            <w:tcMar>
              <w:top w:type="dxa" w:w="60"/>
              <w:left w:type="dxa" w:w="100"/>
              <w:bottom w:type="dxa" w:w="60"/>
              <w:right w:type="dxa" w:w="100"/>
            </w:tcMar>
          </w:tcPr>
          <w:p>
            <w:pPr>
              <w:spacing w:after="0" w:before="0"/>
            </w:pPr>
            <w:r>
              <w:rPr>
                <w:b/>
                <w:bCs/>
                <w:i w:val="false"/>
                <w:iCs w:val="false"/>
              </w:rPr>
              <w:t xml:space="preserve">1.5.2.4.1</w:t>
            </w:r>
            <w:r>
              <w:rPr>
                <w:b w:val="false"/>
                <w:bCs w:val="false"/>
                <w:i w:val="false"/>
                <w:iCs w:val="false"/>
              </w:rPr>
              <w:t xml:space="preserve"> Card encoding, printing, re-issuance and reprint transactions, as amended by Addendum No. 2.</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amended by Addendum No. 2, card encoding is by laser engraving, since the card is chipless, as Responses to Clarifications 001 confirms, and has no magnetic stripe. Encoding, card printing, re-issuance and reprint transactions are each recorded against the initiating identity and the affected record, with reprints produced within the originating job and reissues after dispatch. [CONFIRM: Addendum No. 2 still lists magnetic encoding ('magnetic/laser engraving'). The card specified in clause 3.4 carries no magnetic stripe, and the proposal treats encoding as laser engraving only. Inkript to confirm that magnetic encoding is not required.]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Document-5-Technical-Proposal-System-Architecture.docx&quot; \l &quot;sec_7_12&quot;">
              <w:r>
                <w:rPr>
                  <w:rStyle w:val="Hyperlink"/>
                  <w:b w:val="false"/>
                  <w:bCs w:val="false"/>
                  <w:i w:val="false"/>
                  <w:iCs w:val="false"/>
                </w:rPr>
                <w:t xml:space="preserve">7.12</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1.5.2.4.2</w:t>
            </w:r>
            <w:r>
              <w:rPr>
                <w:b w:val="false"/>
                <w:bCs w:val="false"/>
                <w:i w:val="false"/>
                <w:iCs w:val="false"/>
              </w:rPr>
              <w:t xml:space="preserve"> Envelope generation, card-to-envelope matching, dispatch confirmation, tracking numbers and delivery status transactions.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Envelope generation, card-to-envelope matching by card identifier, dispatch confirmation, tracking reference generation for every mail piece and batch, and event-driven delivery status updates are each recorded transactions. As no courier is designated (Responses to Queries 003), the tracking interface is ready to connect to a postal operator's API.</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8_1&quot;">
              <w:r>
                <w:rPr>
                  <w:rStyle w:val="Hyperlink"/>
                  <w:b w:val="false"/>
                  <w:bCs w:val="false"/>
                  <w:i w:val="false"/>
                  <w:iCs w:val="false"/>
                </w:rPr>
                <w:t xml:space="preserve">8.1</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1.5.2.4.3</w:t>
            </w:r>
            <w:r>
              <w:rPr>
                <w:b w:val="false"/>
                <w:bCs w:val="false"/>
                <w:i w:val="false"/>
                <w:iCs w:val="false"/>
              </w:rPr>
              <w:t xml:space="preserve"> User creation, role assignment, configuration updates, audit queries, report requests and security event handling.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User creation and role assignment, configuration updates under change control, audit log queries, report generation requests and security event handling are each processed as transactions logged against the initiating identity, through the administration portal, the reporting service and the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fldSimple w:instr="HYPERLINK &quot;Document-5-Technical-Proposal-System-Architecture.docx&quot; \l &quot;sec_11_4&quot;">
              <w:r>
                <w:rPr>
                  <w:rStyle w:val="Hyperlink"/>
                  <w:b w:val="false"/>
                  <w:bCs w:val="false"/>
                  <w:i w:val="false"/>
                  <w:iCs w:val="false"/>
                </w:rPr>
                <w:t xml:space="preserve">11.4</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p>
        </w:tc>
      </w:tr>
      <w:tr>
        <w:tc>
          <w:tcPr>
            <w:tcW w:type="dxa" w:w="2000"/>
            <w:tcMar>
              <w:top w:type="dxa" w:w="60"/>
              <w:left w:type="dxa" w:w="100"/>
              <w:bottom w:type="dxa" w:w="60"/>
              <w:right w:type="dxa" w:w="100"/>
            </w:tcMar>
          </w:tcPr>
          <w:p>
            <w:pPr>
              <w:spacing w:after="0" w:before="0"/>
            </w:pPr>
            <w:r>
              <w:rPr>
                <w:b/>
                <w:bCs/>
                <w:i w:val="false"/>
                <w:iCs w:val="false"/>
              </w:rPr>
              <w:t xml:space="preserve">1.5.2.5.1</w:t>
            </w:r>
            <w:r>
              <w:rPr>
                <w:b w:val="false"/>
                <w:bCs w:val="false"/>
                <w:i w:val="false"/>
                <w:iCs w:val="false"/>
              </w:rPr>
              <w:t xml:space="preserve"> Support a minimum of 10 million to 50 million identity records.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platform is sized and licensed to operate at 10 to 50 million identity records, with not less than 20 terabytes usable. As recommended in Responses to Queries 003, it retains production and audit data of about 5 kilobytes per card, while NRIS remains the system of record.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1.5.2.5.2</w:t>
            </w:r>
            <w:r>
              <w:rPr>
                <w:b w:val="false"/>
                <w:bCs w:val="false"/>
                <w:i w:val="false"/>
                <w:iCs w:val="false"/>
              </w:rPr>
              <w:t xml:space="preserve"> 1 to 10 million transactions monthly, 100,000 or more daily at peak, high-volume batch processing.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System processes 1 to 10 million transactions per month and 100,000 or more per day during issuance campaigns on an ACID-compliant clustered enterprise database, with throughput-bound batch preparation separated from latency-bound status exchange so that high-volume batch issuance jobs do not delay real-time traffic.</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6&quot;">
              <w:r>
                <w:rPr>
                  <w:rStyle w:val="Hyperlink"/>
                  <w:b w:val="false"/>
                  <w:bCs w:val="false"/>
                  <w:i w:val="false"/>
                  <w:iCs w:val="false"/>
                </w:rPr>
                <w:t xml:space="preserve">7.6</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4&quot;">
              <w:r>
                <w:rPr>
                  <w:rStyle w:val="Hyperlink"/>
                  <w:b w:val="false"/>
                  <w:bCs w:val="false"/>
                  <w:i w:val="false"/>
                  <w:iCs w:val="false"/>
                </w:rPr>
                <w:t xml:space="preserve">11.4</w:t>
              </w:r>
            </w:fldSimple>
            <w:r>
              <w:rPr>
                <w:b w:val="false"/>
                <w:bCs w:val="false"/>
                <w:i w:val="false"/>
                <w:iCs w:val="false"/>
              </w:rPr>
              <w:t xml:space="preserve"> and </w:t>
            </w:r>
            <w:fldSimple w:instr="HYPERLINK &quot;Document-5-Technical-Proposal-System-Architecture.docx&quot; \l &quot;sec_11_5&quot;">
              <w:r>
                <w:rPr>
                  <w:rStyle w:val="Hyperlink"/>
                  <w:b w:val="false"/>
                  <w:bCs w:val="false"/>
                  <w:i w:val="false"/>
                  <w:iCs w:val="false"/>
                </w:rPr>
                <w:t xml:space="preserve">11.5</w:t>
              </w:r>
            </w:fldSimple>
          </w:p>
        </w:tc>
      </w:tr>
      <w:tr>
        <w:tc>
          <w:tcPr>
            <w:tcW w:type="dxa" w:w="2000"/>
            <w:tcMar>
              <w:top w:type="dxa" w:w="60"/>
              <w:left w:type="dxa" w:w="100"/>
              <w:bottom w:type="dxa" w:w="60"/>
              <w:right w:type="dxa" w:w="100"/>
            </w:tcMar>
          </w:tcPr>
          <w:p>
            <w:pPr>
              <w:spacing w:after="0" w:before="0"/>
            </w:pPr>
            <w:r>
              <w:rPr>
                <w:b/>
                <w:bCs/>
                <w:i w:val="false"/>
                <w:iCs w:val="false"/>
              </w:rPr>
              <w:t xml:space="preserve">1.5.2.5.3</w:t>
            </w:r>
            <w:r>
              <w:rPr>
                <w:b w:val="false"/>
                <w:bCs w:val="false"/>
                <w:i w:val="false"/>
                <w:iCs w:val="false"/>
              </w:rPr>
              <w:t xml:space="preserve"> 10 to 15 year retention, 15 percent annual growth, horizontal scalability without redesign.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Data is retained for 10 to 15 years, and 20 terabytes usable against about 5 terabytes derived absorbs several years of 15 percent annual growth. Growth is added horizontally through further application server instances, and through database processor, memory, storage and drive enclosures, without replacing the platform.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1.5.2.5.4</w:t>
            </w:r>
            <w:r>
              <w:rPr>
                <w:b w:val="false"/>
                <w:bCs w:val="false"/>
                <w:i w:val="false"/>
                <w:iCs w:val="false"/>
              </w:rPr>
              <w:t xml:space="preserve"> Audit log retention of 5 to 10 years, millions of daily entries, compression and archival.</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Audit and security logs are retained for ten years on write-once storage, millions of entries per day are stored and queryable, and logs are compressed and archived on a defined schedule while remaining searchable, with ten years of logs sized at about 4 terabytes within the platform storage.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1.5.2.6</w:t>
            </w:r>
            <w:r>
              <w:rPr>
                <w:b w:val="false"/>
                <w:bCs w:val="false"/>
                <w:i w:val="false"/>
                <w:iCs w:val="false"/>
              </w:rPr>
              <w:t xml:space="preserve"> Performance guaranteed under peak, mixed, concurrent, failover, disaster recovery and maintenance conditions.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Throughput and response targets hold at peak and mixed load, with batch and real-time work separated. On host loss the surviving clustered host carries full load, and paired components are maintained one at a time, outside the production window where possible. On failover to the secondary environment, data and application services continue within the recovery targets. [CONFIRM: On loss of the primary storage array or site, the secondary environment carries the data and application services only, and card production resumes when the primary platform is restored. Inkript to confirm this position is acceptable against 'failover and disaster recovery mode', or record it as a limitation.]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1_5&quot;">
              <w:r>
                <w:rPr>
                  <w:rStyle w:val="Hyperlink"/>
                  <w:b w:val="false"/>
                  <w:bCs w:val="false"/>
                  <w:i w:val="false"/>
                  <w:iCs w:val="false"/>
                </w:rPr>
                <w:t xml:space="preserve">11.5</w:t>
              </w:r>
            </w:fldSimple>
            <w:r>
              <w:rPr>
                <w:b w:val="false"/>
                <w:bCs w:val="false"/>
                <w:i w:val="false"/>
                <w:iCs w:val="false"/>
              </w:rPr>
              <w:t xml:space="preserve">; </w:t>
            </w:r>
            <w:r>
              <w:rPr>
                <w:b w:val="false"/>
                <w:bCs w:val="false"/>
                <w:i w:val="false"/>
                <w:iCs w:val="false"/>
              </w:rPr>
              <w:t xml:space="preserve">Change Management Plan Section </w:t>
            </w:r>
            <w:fldSimple w:instr="HYPERLINK &quot;Change-Management-Plan.docx&quot; \l &quot;sec_5_2&quot;">
              <w:r>
                <w:rPr>
                  <w:rStyle w:val="Hyperlink"/>
                  <w:b w:val="false"/>
                  <w:bCs w:val="false"/>
                  <w:i w:val="false"/>
                  <w:iCs w:val="false"/>
                </w:rPr>
                <w:t xml:space="preserve">5.2</w:t>
              </w:r>
            </w:fldSimple>
          </w:p>
        </w:tc>
      </w:tr>
      <w:tr>
        <w:tc>
          <w:tcPr>
            <w:tcW w:type="dxa" w:w="2000"/>
            <w:tcMar>
              <w:top w:type="dxa" w:w="60"/>
              <w:left w:type="dxa" w:w="100"/>
              <w:bottom w:type="dxa" w:w="60"/>
              <w:right w:type="dxa" w:w="100"/>
            </w:tcMar>
          </w:tcPr>
          <w:p>
            <w:pPr>
              <w:spacing w:after="0" w:before="0"/>
            </w:pPr>
            <w:r>
              <w:rPr>
                <w:b/>
                <w:bCs/>
                <w:i w:val="false"/>
                <w:iCs w:val="false"/>
              </w:rPr>
              <w:t xml:space="preserve">1.5.2.7</w:t>
            </w:r>
            <w:r>
              <w:rPr>
                <w:b w:val="false"/>
                <w:bCs w:val="false"/>
                <w:i w:val="false"/>
                <w:iCs w:val="false"/>
              </w:rPr>
              <w:t xml:space="preserve"> Real-time dashboards, SLA tools, throughput analytics, bottleneck detection, automated reports and trend analysis.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Monitoring, Reporting and Analytics provides real-time and historical performance dashboards, SLA monitoring of uptime, throughput and rejection rate, throughput analytics by line, bottleneck detection, automatically scheduled performance reports, and trend analysis with forecasting.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000"/>
            <w:tcMar>
              <w:top w:type="dxa" w:w="60"/>
              <w:left w:type="dxa" w:w="100"/>
              <w:bottom w:type="dxa" w:w="60"/>
              <w:right w:type="dxa" w:w="100"/>
            </w:tcMar>
          </w:tcPr>
          <w:p>
            <w:pPr>
              <w:spacing w:after="0" w:before="0"/>
            </w:pPr>
            <w:r>
              <w:rPr>
                <w:b/>
                <w:bCs/>
                <w:i w:val="false"/>
                <w:iCs w:val="false"/>
              </w:rPr>
              <w:t xml:space="preserve">1.5.2.8</w:t>
            </w:r>
            <w:r>
              <w:rPr>
                <w:b w:val="false"/>
                <w:bCs w:val="false"/>
                <w:i w:val="false"/>
                <w:iCs w:val="false"/>
              </w:rPr>
              <w:t xml:space="preserve"> Acceptance only after throughput, response time, concurrency, transaction integrity and sustained operation are verified.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Acceptance is conditional on throughput benchmarks at factory and site acceptance, load-tested response times, stress-tested concurrency, transaction integrity at peak and a sustained operation test. These are rehearsed in performance testing and pre-commissioning test 16, and confirmed in operational acceptance tests 2 to 4 of Table B as amended by Addendum No. 2.</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bl>
    <w:p>
      <w:pPr>
        <w:spacing w:after="140"/>
      </w:pPr>
    </w:p>
    <w:p>
      <w:pPr>
        <w:pStyle w:val="Heading2"/>
        <w:numPr>
          <w:ilvl w:val="1"/>
          <w:numId w:val="2"/>
        </w:numPr>
        <w:spacing w:after="140" w:before="260"/>
      </w:pPr>
      <w:r>
        <w:t xml:space="preserve">C</w:t>
      </w:r>
      <w:bookmarkStart w:name="sec_1_6" w:id="1"/>
      <w:r>
        <w:rPr>
          <w:b w:val="false"/>
          <w:bCs w:val="false"/>
          <w:i w:val="false"/>
          <w:iCs w:val="false"/>
        </w:rPr>
        <w:t xml:space="preserve">yber security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1.6.1</w:t>
            </w:r>
            <w:r>
              <w:rPr>
                <w:b w:val="false"/>
                <w:bCs w:val="false"/>
                <w:i w:val="false"/>
                <w:iCs w:val="false"/>
              </w:rPr>
              <w:t xml:space="preserve"> Design, implement and maintain multi-layered security ensuring confidentiality, integrity, availability and traceability.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layered architecture applies zero trust, least privilege, segmentation, defense in depth and traceability, protecting transport, message, identity and storage independently and attributing every action to an identity and a time. It is mapped to NIST CSF 2.0 and maintained through warranty with monthly patching and scanning and annual penetration testing.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1&quot;">
              <w:r>
                <w:rPr>
                  <w:rStyle w:val="Hyperlink"/>
                  <w:b w:val="false"/>
                  <w:bCs w:val="false"/>
                  <w:i w:val="false"/>
                  <w:iCs w:val="false"/>
                </w:rPr>
                <w:t xml:space="preserve">10.1</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Cybersecurity-Risk-Management-Plan.docx&quot; \l &quot;sec_6_3&quot;">
              <w:r>
                <w:rPr>
                  <w:rStyle w:val="Hyperlink"/>
                  <w:b w:val="false"/>
                  <w:bCs w:val="false"/>
                  <w:i w:val="false"/>
                  <w:iCs w:val="false"/>
                </w:rPr>
                <w:t xml:space="preserve">6.3</w:t>
              </w:r>
            </w:fldSimple>
          </w:p>
        </w:tc>
      </w:tr>
      <w:tr>
        <w:tc>
          <w:tcPr>
            <w:tcW w:type="dxa" w:w="2000"/>
            <w:tcMar>
              <w:top w:type="dxa" w:w="60"/>
              <w:left w:type="dxa" w:w="100"/>
              <w:bottom w:type="dxa" w:w="60"/>
              <w:right w:type="dxa" w:w="100"/>
            </w:tcMar>
          </w:tcPr>
          <w:p>
            <w:pPr>
              <w:spacing w:after="0" w:before="0"/>
            </w:pPr>
            <w:r>
              <w:rPr>
                <w:b/>
                <w:bCs/>
                <w:i w:val="false"/>
                <w:iCs w:val="false"/>
              </w:rPr>
              <w:t xml:space="preserve">1.6.2.1</w:t>
            </w:r>
            <w:r>
              <w:rPr>
                <w:b w:val="false"/>
                <w:bCs w:val="false"/>
                <w:i w:val="false"/>
                <w:iCs w:val="false"/>
              </w:rPr>
              <w:t xml:space="preserve"> Encryption, zero trust, RBAC, segmented zones, secure APIs, HSMs, key lifecycle, MFA, tamper-proof audit.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AES-256 at rest and TLS 1.2 or higher in transit apply under zero-trust, role-based least privilege. Production, management and security, and DMZ zones are firewall-segmented, every API call is authenticated and authorized, FIPS-validated HSMs hold the signing key under defined generation, storage, rotation and revocation, MFA protects privileged access, and audit records are write-once.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1&quot;">
              <w:r>
                <w:rPr>
                  <w:rStyle w:val="Hyperlink"/>
                  <w:b w:val="false"/>
                  <w:bCs w:val="false"/>
                  <w:i w:val="false"/>
                  <w:iCs w:val="false"/>
                </w:rPr>
                <w:t xml:space="preserve">10.1</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0_6&quot;">
              <w:r>
                <w:rPr>
                  <w:rStyle w:val="Hyperlink"/>
                  <w:b w:val="false"/>
                  <w:bCs w:val="false"/>
                  <w:i w:val="false"/>
                  <w:iCs w:val="false"/>
                </w:rPr>
                <w:t xml:space="preserve">10.6</w:t>
              </w:r>
            </w:fldSimple>
          </w:p>
        </w:tc>
      </w:tr>
      <w:tr>
        <w:tc>
          <w:tcPr>
            <w:tcW w:type="dxa" w:w="2000"/>
            <w:tcMar>
              <w:top w:type="dxa" w:w="60"/>
              <w:left w:type="dxa" w:w="100"/>
              <w:bottom w:type="dxa" w:w="60"/>
              <w:right w:type="dxa" w:w="100"/>
            </w:tcMar>
          </w:tcPr>
          <w:p>
            <w:pPr>
              <w:spacing w:after="0" w:before="0"/>
            </w:pPr>
            <w:r>
              <w:rPr>
                <w:b/>
                <w:bCs/>
                <w:i w:val="false"/>
                <w:iCs w:val="false"/>
              </w:rPr>
              <w:t xml:space="preserve">1.6.3</w:t>
            </w:r>
            <w:r>
              <w:rPr>
                <w:b w:val="false"/>
                <w:bCs w:val="false"/>
                <w:i w:val="false"/>
                <w:iCs w:val="false"/>
              </w:rPr>
              <w:t xml:space="preserve"> Encrypt PII with AES-256 at rest and TLS 1.2 or higher, masking, deletion, retention enforcement.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All personally identifiable information is encrypted with AES-256 at rest, including the database, its secondary copy and backups, and with TLS 1.2 or higher on every interface. Personal data is masked in development, training and user acceptance testing, media and expired records are sanitized under defined procedures, and the platform enforces retention and archival.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1.6.4</w:t>
            </w:r>
            <w:r>
              <w:rPr>
                <w:b w:val="false"/>
                <w:bCs w:val="false"/>
                <w:i w:val="false"/>
                <w:iCs w:val="false"/>
              </w:rPr>
              <w:t xml:space="preserve"> Centralized IAM with MFA, PAM, just-in-time access, access logging and periodic recertification.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 dedicated directory on three domain controllers, two at the primary site and one at the secondary site, with single sign-on, gives each user one identity. MFA applies to administrators and operators, privileged credentials are issued per session and purpose, elevated access is time-bound and withdrawn automatically, every authentication and privileged action is logged, and access is periodically recertified. [CONFIRM: Responses to Queries 003 says NRB will provide its existing Active Directory for integration, while Clarifications to Queries 005 requires a net-new, self-contained solution using no existing NRB resources. The proposal supplies its own directory. Inkript to confirm whether any trust or synchronization with NRB's Active Directory is expected.]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r>
        <w:tc>
          <w:tcPr>
            <w:tcW w:type="dxa" w:w="2000"/>
            <w:tcMar>
              <w:top w:type="dxa" w:w="60"/>
              <w:left w:type="dxa" w:w="100"/>
              <w:bottom w:type="dxa" w:w="60"/>
              <w:right w:type="dxa" w:w="100"/>
            </w:tcMar>
          </w:tcPr>
          <w:p>
            <w:pPr>
              <w:spacing w:after="0" w:before="0"/>
            </w:pPr>
            <w:r>
              <w:rPr>
                <w:b/>
                <w:bCs/>
                <w:i w:val="false"/>
                <w:iCs w:val="false"/>
              </w:rPr>
              <w:t xml:space="preserve">1.6.5</w:t>
            </w:r>
            <w:r>
              <w:rPr>
                <w:b w:val="false"/>
                <w:bCs w:val="false"/>
                <w:i w:val="false"/>
                <w:iCs w:val="false"/>
              </w:rPr>
              <w:t xml:space="preserve"> Secure development lifecycle, OWASP Top 10, code review, SAST and DAST, API security, patching.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Software is built under a secure development lifecycle with threat modeling, OWASP Top 10 coding and assessment, second-engineer code review, SAST on every build, DAST before promotion and a release gate. APIs enforce authentication, per-caller rate limiting and TLS, vulnerability scanning runs monthly, and patches are verified outside production first.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Cybersecurity-Risk-Management-Plan.docx&quot; \l &quot;sec_6_3&quot;">
              <w:r>
                <w:rPr>
                  <w:rStyle w:val="Hyperlink"/>
                  <w:b w:val="false"/>
                  <w:bCs w:val="false"/>
                  <w:i w:val="false"/>
                  <w:iCs w:val="false"/>
                </w:rPr>
                <w:t xml:space="preserve">6.3</w:t>
              </w:r>
            </w:fldSimple>
          </w:p>
        </w:tc>
      </w:tr>
      <w:tr>
        <w:tc>
          <w:tcPr>
            <w:tcW w:type="dxa" w:w="2000"/>
            <w:tcMar>
              <w:top w:type="dxa" w:w="60"/>
              <w:left w:type="dxa" w:w="100"/>
              <w:bottom w:type="dxa" w:w="60"/>
              <w:right w:type="dxa" w:w="100"/>
            </w:tcMar>
          </w:tcPr>
          <w:p>
            <w:pPr>
              <w:spacing w:after="0" w:before="0"/>
            </w:pPr>
            <w:r>
              <w:rPr>
                <w:b/>
                <w:bCs/>
                <w:i w:val="false"/>
                <w:iCs w:val="false"/>
              </w:rPr>
              <w:t xml:space="preserve">1.6.6</w:t>
            </w:r>
            <w:r>
              <w:rPr>
                <w:b w:val="false"/>
                <w:bCs w:val="false"/>
                <w:i w:val="false"/>
                <w:iCs w:val="false"/>
              </w:rPr>
              <w:t xml:space="preserve"> CIS-hardened systems, EDR, anti-malware and IPS, segmentation with next generation firewalls, baselines, SIEM.</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Operating systems follow CIS-based hardened baselines with automated drift detection, EDR detects and contains malware on every server, virtual machine and workstation, next generation firewalls with intrusion prevention enforce zone segmentation at both sites, and SIEM monitors all sources continuously. This meets the 'preferred' firewall option, which Clarifications to Queries 005 treats as a strict baseline.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3_2&quot;">
              <w:r>
                <w:rPr>
                  <w:rStyle w:val="Hyperlink"/>
                  <w:b w:val="false"/>
                  <w:bCs w:val="false"/>
                  <w:i w:val="false"/>
                  <w:iCs w:val="false"/>
                </w:rPr>
                <w:t xml:space="preserve">3.2</w:t>
              </w:r>
            </w:fldSimple>
          </w:p>
        </w:tc>
      </w:tr>
      <w:tr>
        <w:tc>
          <w:tcPr>
            <w:tcW w:type="dxa" w:w="2000"/>
            <w:tcMar>
              <w:top w:type="dxa" w:w="60"/>
              <w:left w:type="dxa" w:w="100"/>
              <w:bottom w:type="dxa" w:w="60"/>
              <w:right w:type="dxa" w:w="100"/>
            </w:tcMar>
          </w:tcPr>
          <w:p>
            <w:pPr>
              <w:spacing w:after="0" w:before="0"/>
            </w:pPr>
            <w:r>
              <w:rPr>
                <w:b/>
                <w:bCs/>
                <w:i w:val="false"/>
                <w:iCs w:val="false"/>
              </w:rPr>
              <w:t xml:space="preserve">1.6.7</w:t>
            </w:r>
            <w:r>
              <w:rPr>
                <w:b w:val="false"/>
                <w:bCs w:val="false"/>
                <w:i w:val="false"/>
                <w:iCs w:val="false"/>
              </w:rPr>
              <w:t xml:space="preserve"> Biometric access, CCTV with retention, secure zones, environmental alerts, visitor logging and escort.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Under the facility works, biometric access control logs every entry to the server room and production area, CCTV runs with defined retention, and separate secure areas hold blank cards, personalization equipment, data processing systems and destruction. Environmental, access and intrusion events feed monitoring and SIEM alerting, and escorted visitor entries are logged.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000"/>
            <w:tcMar>
              <w:top w:type="dxa" w:w="60"/>
              <w:left w:type="dxa" w:w="100"/>
              <w:bottom w:type="dxa" w:w="60"/>
              <w:right w:type="dxa" w:w="100"/>
            </w:tcMar>
          </w:tcPr>
          <w:p>
            <w:pPr>
              <w:spacing w:after="0" w:before="0"/>
            </w:pPr>
            <w:r>
              <w:rPr>
                <w:b/>
                <w:bCs/>
                <w:i w:val="false"/>
                <w:iCs w:val="false"/>
              </w:rPr>
              <w:t xml:space="preserve">1.6.8</w:t>
            </w:r>
            <w:r>
              <w:rPr>
                <w:b w:val="false"/>
                <w:bCs w:val="false"/>
                <w:i w:val="false"/>
                <w:iCs w:val="false"/>
              </w:rPr>
              <w:t xml:space="preserve"> SOC capability, 24/7 monitoring, SIEM, incident response plan, escalation matrix, forensics, reporting timelines.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Per Clarifications to Queries 005, Inkript establishes a Security Operations Center, integrated with NRB's SOC and handed over to NRB. SIEM and behavior analytics run 24/7, the Incident Response Plan sets classes S1 to S4 and an escalation matrix, evidence is preserved with chain of custody, and S1 to S3 incidents are reported in writing within 24 hours.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Cybersecurity-Risk-Management-Plan.docx&quot; \l &quot;sec_7_2&quot;">
              <w:r>
                <w:rPr>
                  <w:rStyle w:val="Hyperlink"/>
                  <w:b w:val="false"/>
                  <w:bCs w:val="false"/>
                  <w:i w:val="false"/>
                  <w:iCs w:val="false"/>
                </w:rPr>
                <w:t xml:space="preserve">7.2</w:t>
              </w:r>
            </w:fldSimple>
            <w:r>
              <w:rPr>
                <w:b w:val="false"/>
                <w:bCs w:val="false"/>
                <w:i w:val="false"/>
                <w:iCs w:val="false"/>
              </w:rPr>
              <w:t xml:space="preserve">, </w:t>
            </w:r>
            <w:fldSimple w:instr="HYPERLINK &quot;Cybersecurity-Risk-Management-Plan.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Cybersecurity-Risk-Management-Plan.docx&quot; \l &quot;sec_9_4&quot;">
              <w:r>
                <w:rPr>
                  <w:rStyle w:val="Hyperlink"/>
                  <w:b w:val="false"/>
                  <w:bCs w:val="false"/>
                  <w:i w:val="false"/>
                  <w:iCs w:val="false"/>
                </w:rPr>
                <w:t xml:space="preserve">9.4</w:t>
              </w:r>
            </w:fldSimple>
          </w:p>
        </w:tc>
      </w:tr>
      <w:tr>
        <w:tc>
          <w:tcPr>
            <w:tcW w:type="dxa" w:w="2000"/>
            <w:tcMar>
              <w:top w:type="dxa" w:w="60"/>
              <w:left w:type="dxa" w:w="100"/>
              <w:bottom w:type="dxa" w:w="60"/>
              <w:right w:type="dxa" w:w="100"/>
            </w:tcMar>
          </w:tcPr>
          <w:p>
            <w:pPr>
              <w:spacing w:after="0" w:before="0"/>
            </w:pPr>
            <w:r>
              <w:rPr>
                <w:b/>
                <w:bCs/>
                <w:i w:val="false"/>
                <w:iCs w:val="false"/>
              </w:rPr>
              <w:t xml:space="preserve">1.6.9</w:t>
            </w:r>
            <w:r>
              <w:rPr>
                <w:b w:val="false"/>
                <w:bCs w:val="false"/>
                <w:i w:val="false"/>
                <w:iCs w:val="false"/>
              </w:rPr>
              <w:t xml:space="preserve"> Independent penetration testing before go-live and annually, quarterly vulnerability assessments, remediation tracking.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An independent third party, CREST-accredited or equivalent, penetration-tests the full deployed configuration, including the Machine Control Zone, before go-live and annually thereafter. Vulnerability assessment runs at least quarterly, and findings are risk rated, remediated within defined times, retested and reported monthly. [CONFIRM: The independent penetration testing firm is not yet named. Inkript to select it and confirm that the annual tests are priced for the full period in which they are offered.]</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Cybersecurity-Risk-Management-Plan.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1.6.10</w:t>
            </w:r>
            <w:r>
              <w:rPr>
                <w:b w:val="false"/>
                <w:bCs w:val="false"/>
                <w:i w:val="false"/>
                <w:iCs w:val="false"/>
              </w:rPr>
              <w:t xml:space="preserve"> Encrypted, offsite and immutable backups, DR failover, annual DR testing, ransomware recovery strategy.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Encrypted backups are held in a backup repository and on not less than 40 TB of immutable storage at each site, with the offsite copy at the Purchaser's disaster recovery data center, and the warm standby provides failover within the recovery targets. DR is tested at least annually, and ransomware recovery uses separately credentialed immutable copies, clean-copy restoration on an isolated segment and credential replacement.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8_1&quot;">
              <w:r>
                <w:rPr>
                  <w:rStyle w:val="Hyperlink"/>
                  <w:b w:val="false"/>
                  <w:bCs w:val="false"/>
                  <w:i w:val="false"/>
                  <w:iCs w:val="false"/>
                </w:rPr>
                <w:t xml:space="preserve">8.1</w:t>
              </w:r>
            </w:fldSimple>
            <w:r>
              <w:rPr>
                <w:b w:val="false"/>
                <w:bCs w:val="false"/>
                <w:i w:val="false"/>
                <w:iCs w:val="false"/>
              </w:rPr>
              <w:t xml:space="preserve"> and </w:t>
            </w:r>
            <w:fldSimple w:instr="HYPERLINK &quot;Cybersecurity-Risk-Management-Plan.docx&quot; \l &quot;sec_8_2&quot;">
              <w:r>
                <w:rPr>
                  <w:rStyle w:val="Hyperlink"/>
                  <w:b w:val="false"/>
                  <w:bCs w:val="false"/>
                  <w:i w:val="false"/>
                  <w:iCs w:val="false"/>
                </w:rPr>
                <w:t xml:space="preserve">8.2</w:t>
              </w:r>
            </w:fldSimple>
          </w:p>
        </w:tc>
      </w:tr>
      <w:tr>
        <w:tc>
          <w:tcPr>
            <w:tcW w:type="dxa" w:w="2000"/>
            <w:tcMar>
              <w:top w:type="dxa" w:w="60"/>
              <w:left w:type="dxa" w:w="100"/>
              <w:bottom w:type="dxa" w:w="60"/>
              <w:right w:type="dxa" w:w="100"/>
            </w:tcMar>
          </w:tcPr>
          <w:p>
            <w:pPr>
              <w:spacing w:after="0" w:before="0"/>
            </w:pPr>
            <w:r>
              <w:rPr>
                <w:b/>
                <w:bCs/>
                <w:i w:val="false"/>
                <w:iCs w:val="false"/>
              </w:rPr>
              <w:t xml:space="preserve">1.6.11.1</w:t>
            </w:r>
            <w:r>
              <w:rPr>
                <w:b w:val="false"/>
                <w:bCs w:val="false"/>
                <w:i w:val="false"/>
                <w:iCs w:val="false"/>
              </w:rPr>
              <w:t xml:space="preserve"> Bidder and key personnel demonstrate compliance with internationally recognized cybersecurity standards.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Inkript's information security management system is certified to ISO/IEC 27001, and, as Responses to Queries 003 requires, each team member holds the certifications for the role, including CISSP, CISM and CEH for the Cybersecurity and PKI Specialist, CCNA and CCNP for the Network Engineer, and CREST or equivalent accreditation for the independent penetration tester. [CONFIRM: The certifications are stated for the roles. Inkript to confirm that the named candidates' CVs and certificate copies carry them before submission.]</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1_2&quot;">
              <w:r>
                <w:rPr>
                  <w:rStyle w:val="Hyperlink"/>
                  <w:b w:val="false"/>
                  <w:bCs w:val="false"/>
                  <w:i w:val="false"/>
                  <w:iCs w:val="false"/>
                </w:rPr>
                <w:t xml:space="preserve">1.2</w:t>
              </w:r>
            </w:fldSimple>
            <w:r>
              <w:rPr>
                <w:b w:val="false"/>
                <w:bCs w:val="false"/>
                <w:i w:val="false"/>
                <w:iCs w:val="false"/>
              </w:rPr>
              <w:t xml:space="preserve">,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Cybersecurity-Risk-Management-Plan.docx&quot; \l &quot;sec_11_3&quot;">
              <w:r>
                <w:rPr>
                  <w:rStyle w:val="Hyperlink"/>
                  <w:b w:val="false"/>
                  <w:bCs w:val="false"/>
                  <w:i w:val="false"/>
                  <w:iCs w:val="false"/>
                </w:rPr>
                <w:t xml:space="preserve">11.3</w:t>
              </w:r>
            </w:fldSimple>
            <w:r>
              <w:rPr>
                <w:b w:val="false"/>
                <w:bCs w:val="false"/>
                <w:i w:val="false"/>
                <w:iCs w:val="false"/>
              </w:rPr>
              <w:t xml:space="preserve">; Attachment: Inkript ISO/IEC 27001 certificate; Attachment: Key personnel Candidate Summaries and CVs</w:t>
            </w:r>
          </w:p>
        </w:tc>
      </w:tr>
      <w:tr>
        <w:tc>
          <w:tcPr>
            <w:tcW w:type="dxa" w:w="2000"/>
            <w:tcMar>
              <w:top w:type="dxa" w:w="60"/>
              <w:left w:type="dxa" w:w="100"/>
              <w:bottom w:type="dxa" w:w="60"/>
              <w:right w:type="dxa" w:w="100"/>
            </w:tcMar>
          </w:tcPr>
          <w:p>
            <w:pPr>
              <w:spacing w:after="0" w:before="0"/>
            </w:pPr>
            <w:r>
              <w:rPr>
                <w:b/>
                <w:bCs/>
                <w:i w:val="false"/>
                <w:iCs w:val="false"/>
              </w:rPr>
              <w:t xml:space="preserve">1.6.11.2</w:t>
            </w:r>
            <w:r>
              <w:rPr>
                <w:b w:val="false"/>
                <w:bCs w:val="false"/>
                <w:i w:val="false"/>
                <w:iCs w:val="false"/>
              </w:rPr>
              <w:t xml:space="preserve"> ISO/IEC 27001 certification mandatory; ISO 9001 and ISO/IEC 20000-1 preferred.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Inkript's information security management system is certified to ISO/IEC 27001, the mandatory certification, maintained throughout the Contract, with the certificate copy attached. The card manufacturer's ISO 9001 certificate is attached, and technical change control is structured on ITIL 4 change enablement and ISO/IEC 20000-1 change management. [GAP: No document states whether Inkript holds ISO 9001 or ISO/IEC 20000-1 (</w:t>
            </w:r>
            <w:r>
              <w:rPr>
                <w:b w:val="false"/>
                <w:bCs w:val="false"/>
                <w:i w:val="false"/>
                <w:iCs w:val="false"/>
              </w:rPr>
              <w:t xml:space="preserve">Cybersecurity Risk Management Plan Section </w:t>
            </w:r>
            <w:fldSimple w:instr="HYPERLINK &quot;Cybersecurity-Risk-Management-Plan.docx&quot; \l &quot;sec_11_2&quot;">
              <w:r>
                <w:rPr>
                  <w:rStyle w:val="Hyperlink"/>
                  <w:b w:val="false"/>
                  <w:bCs w:val="false"/>
                  <w:i w:val="false"/>
                  <w:iCs w:val="false"/>
                </w:rPr>
                <w:t xml:space="preserve">11.2</w:t>
              </w:r>
            </w:fldSimple>
            <w:r>
              <w:rPr>
                <w:b w:val="false"/>
                <w:bCs w:val="false"/>
                <w:i w:val="false"/>
                <w:iCs w:val="false"/>
              </w:rPr>
              <w:t xml:space="preserve"> is marked [Inkript to confirm]). Clarifications to Queries 005, answering a question that cited this clause, says all minimum specifications are strict, non-negotiable baselines, so the 'preferred' certifications may be evaluated as required. Responses to Queries 003 lets team members or partners hold certifications for their roles, so the card manufacturer's ISO 9001 certificate (register item 2.3) helps, but no ISO/IEC 20000-1 holder is identified. Attach Inkript's or a partner's certificates if held.]</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1_2&quot;">
              <w:r>
                <w:rPr>
                  <w:rStyle w:val="Hyperlink"/>
                  <w:b w:val="false"/>
                  <w:bCs w:val="false"/>
                  <w:i w:val="false"/>
                  <w:iCs w:val="false"/>
                </w:rPr>
                <w:t xml:space="preserve">1.2</w:t>
              </w:r>
            </w:fldSimple>
            <w:r>
              <w:rPr>
                <w:b w:val="false"/>
                <w:bCs w:val="false"/>
                <w:i w:val="false"/>
                <w:iCs w:val="false"/>
              </w:rPr>
              <w:t xml:space="preserve">, </w:t>
            </w:r>
            <w:fldSimple w:instr="HYPERLINK &quot;Cybersecurity-Risk-Management-Plan.docx&quot; \l &quot;sec_11_1&quot;">
              <w:r>
                <w:rPr>
                  <w:rStyle w:val="Hyperlink"/>
                  <w:b w:val="false"/>
                  <w:bCs w:val="false"/>
                  <w:i w:val="false"/>
                  <w:iCs w:val="false"/>
                </w:rPr>
                <w:t xml:space="preserve">11.1</w:t>
              </w:r>
            </w:fldSimple>
            <w:r>
              <w:rPr>
                <w:b w:val="false"/>
                <w:bCs w:val="false"/>
                <w:i w:val="false"/>
                <w:iCs w:val="false"/>
              </w:rPr>
              <w:t xml:space="preserve"> and </w:t>
            </w:r>
            <w:fldSimple w:instr="HYPERLINK &quot;Cybersecurity-Risk-Management-Plan.docx&quot; \l &quot;sec_11_3&quot;">
              <w:r>
                <w:rPr>
                  <w:rStyle w:val="Hyperlink"/>
                  <w:b w:val="false"/>
                  <w:bCs w:val="false"/>
                  <w:i w:val="false"/>
                  <w:iCs w:val="false"/>
                </w:rPr>
                <w:t xml:space="preserve">11.3</w:t>
              </w:r>
            </w:fldSimple>
            <w:r>
              <w:rPr>
                <w:b w:val="false"/>
                <w:bCs w:val="false"/>
                <w:i w:val="false"/>
                <w:iCs w:val="false"/>
              </w:rPr>
              <w:t xml:space="preserve">; </w:t>
            </w:r>
            <w:r>
              <w:rPr>
                <w:b w:val="false"/>
                <w:bCs w:val="false"/>
                <w:i w:val="false"/>
                <w:iCs w:val="false"/>
              </w:rPr>
              <w:t xml:space="preserve">Change Management Plan Section </w:t>
            </w:r>
            <w:fldSimple w:instr="HYPERLINK &quot;Change-Management-Plan.docx&quot; \l &quot;sec_1_2&quot;">
              <w:r>
                <w:rPr>
                  <w:rStyle w:val="Hyperlink"/>
                  <w:b w:val="false"/>
                  <w:bCs w:val="false"/>
                  <w:i w:val="false"/>
                  <w:iCs w:val="false"/>
                </w:rPr>
                <w:t xml:space="preserve">1.2</w:t>
              </w:r>
            </w:fldSimple>
            <w:r>
              <w:rPr>
                <w:b w:val="false"/>
                <w:bCs w:val="false"/>
                <w:i w:val="false"/>
                <w:iCs w:val="false"/>
              </w:rPr>
              <w:t xml:space="preserve">; Attachment: Inkript ISO/IEC 27001 certificate; Attachment: Card manufacturer ISO 9001 certificate</w:t>
            </w:r>
          </w:p>
        </w:tc>
      </w:tr>
      <w:tr>
        <w:tc>
          <w:tcPr>
            <w:tcW w:type="dxa" w:w="2000"/>
            <w:tcMar>
              <w:top w:type="dxa" w:w="60"/>
              <w:left w:type="dxa" w:w="100"/>
              <w:bottom w:type="dxa" w:w="60"/>
              <w:right w:type="dxa" w:w="100"/>
            </w:tcMar>
          </w:tcPr>
          <w:p>
            <w:pPr>
              <w:spacing w:after="0" w:before="0"/>
            </w:pPr>
            <w:r>
              <w:rPr>
                <w:b/>
                <w:bCs/>
                <w:i w:val="false"/>
                <w:iCs w:val="false"/>
              </w:rPr>
              <w:t xml:space="preserve">1.6.11.3</w:t>
            </w:r>
            <w:r>
              <w:rPr>
                <w:b w:val="false"/>
                <w:bCs w:val="false"/>
                <w:i w:val="false"/>
                <w:iCs w:val="false"/>
              </w:rPr>
              <w:t xml:space="preserve"> Comply with NIST CSF, CIS Controls, ISO/IEC 27002 and OWASP application security guidelines.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architecture and the Cybersecurity Risk Management Plan are mapped to all six functions and 22 categories of NIST CSF 2.0 with ISO/IEC 27001 Annex A controls, implemented through ISO/IEC 27002 guidance. Configuration baselines and hardening follow CIS Controls, and secure development and testing follow OWASP.</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1_2&quot;">
              <w:r>
                <w:rPr>
                  <w:rStyle w:val="Hyperlink"/>
                  <w:b w:val="false"/>
                  <w:bCs w:val="false"/>
                  <w:i w:val="false"/>
                  <w:iCs w:val="false"/>
                </w:rPr>
                <w:t xml:space="preserve">1.2</w:t>
              </w:r>
            </w:fldSimple>
            <w:r>
              <w:rPr>
                <w:b w:val="false"/>
                <w:bCs w:val="false"/>
                <w:i w:val="false"/>
                <w:iCs w:val="false"/>
              </w:rPr>
              <w:t xml:space="preserve"> and </w:t>
            </w:r>
            <w:fldSimple w:instr="HYPERLINK &quot;Cybersecurity-Risk-Management-Plan.docx&quot; \l &quot;sec_3_2&quot;">
              <w:r>
                <w:rPr>
                  <w:rStyle w:val="Hyperlink"/>
                  <w:b w:val="false"/>
                  <w:bCs w:val="false"/>
                  <w:i w:val="false"/>
                  <w:iCs w:val="false"/>
                </w:rPr>
                <w:t xml:space="preserve">3.2</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p>
        </w:tc>
      </w:tr>
      <w:tr>
        <w:tc>
          <w:tcPr>
            <w:tcW w:type="dxa" w:w="2000"/>
            <w:tcMar>
              <w:top w:type="dxa" w:w="60"/>
              <w:left w:type="dxa" w:w="100"/>
              <w:bottom w:type="dxa" w:w="60"/>
              <w:right w:type="dxa" w:w="100"/>
            </w:tcMar>
          </w:tcPr>
          <w:p>
            <w:pPr>
              <w:spacing w:after="0" w:before="0"/>
            </w:pPr>
            <w:r>
              <w:rPr>
                <w:b/>
                <w:bCs/>
                <w:i w:val="false"/>
                <w:iCs w:val="false"/>
              </w:rPr>
              <w:t xml:space="preserve">1.6.11.4</w:t>
            </w:r>
            <w:r>
              <w:rPr>
                <w:b w:val="false"/>
                <w:bCs w:val="false"/>
                <w:i w:val="false"/>
                <w:iCs w:val="false"/>
              </w:rPr>
              <w:t xml:space="preserve"> FIPS 140-2 or 140-3 validated HSMs, X.509 PKI compliance and eIDAS-aligned digital signatures.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two supplied HSMs are FIPS 140-2 or FIPS 140-3 validated, and the Document Signer and interface certificates conform to X.509 and are issued by the e-Government PKI, as clarified in Responses to Queries 04 and Clarifications to Queries 005. Signature formats align with eIDAS digital signature standards. [CONFIRM: The HSM model is not named in any document, and its FIPS 140 validation certificate, which </w:t>
            </w:r>
            <w:r>
              <w:rPr>
                <w:b w:val="false"/>
                <w:bCs w:val="false"/>
                <w:i w:val="false"/>
                <w:iCs w:val="false"/>
              </w:rPr>
              <w:t xml:space="preserve">Cybersecurity Risk Management Plan Section </w:t>
            </w:r>
            <w:fldSimple w:instr="HYPERLINK &quot;Cybersecurity-Risk-Management-Plan.docx&quot; \l &quot;sec_11_3&quot;">
              <w:r>
                <w:rPr>
                  <w:rStyle w:val="Hyperlink"/>
                  <w:b w:val="false"/>
                  <w:bCs w:val="false"/>
                  <w:i w:val="false"/>
                  <w:iCs w:val="false"/>
                </w:rPr>
                <w:t xml:space="preserve">11.3</w:t>
              </w:r>
            </w:fldSimple>
            <w:r>
              <w:rPr>
                <w:b w:val="false"/>
                <w:bCs w:val="false"/>
                <w:i w:val="false"/>
                <w:iCs w:val="false"/>
              </w:rPr>
              <w:t xml:space="preserve"> says is attached, is not in the tender document register. Inkript to select the model and attach the certificate.]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1_3&quot;">
              <w:r>
                <w:rPr>
                  <w:rStyle w:val="Hyperlink"/>
                  <w:b w:val="false"/>
                  <w:bCs w:val="false"/>
                  <w:i w:val="false"/>
                  <w:iCs w:val="false"/>
                </w:rPr>
                <w:t xml:space="preserve">11.3</w:t>
              </w:r>
            </w:fldSimple>
          </w:p>
        </w:tc>
      </w:tr>
      <w:tr>
        <w:tc>
          <w:tcPr>
            <w:tcW w:type="dxa" w:w="2000"/>
            <w:tcMar>
              <w:top w:type="dxa" w:w="60"/>
              <w:left w:type="dxa" w:w="100"/>
              <w:bottom w:type="dxa" w:w="60"/>
              <w:right w:type="dxa" w:w="100"/>
            </w:tcMar>
          </w:tcPr>
          <w:p>
            <w:pPr>
              <w:spacing w:after="0" w:before="0"/>
            </w:pPr>
            <w:r>
              <w:rPr>
                <w:b/>
                <w:bCs/>
                <w:i w:val="false"/>
                <w:iCs w:val="false"/>
              </w:rPr>
              <w:t xml:space="preserve">1.6.11.5</w:t>
            </w:r>
            <w:r>
              <w:rPr>
                <w:b w:val="false"/>
                <w:bCs w:val="false"/>
                <w:i w:val="false"/>
                <w:iCs w:val="false"/>
              </w:rPr>
              <w:t xml:space="preserve"> Comply with Malawi data, communications, registration and cyber laws, the environmental plan, GDPR principles and privacy assessments.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Inkript commits to the Data Protection Act 2024, Communications Act 2016, National Registration Act 2015, Electronic Transactions and Cybersecurity Act 2016, National Digitalization Policy, Project Environmental and Social Management Plan and GDPR principles. The System retains only production and audit data, requests only the elements card production needs, keeps citizen data in Malawi, and evidences Privacy Impact Assessments.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1_1&quot;">
              <w:r>
                <w:rPr>
                  <w:rStyle w:val="Hyperlink"/>
                  <w:b w:val="false"/>
                  <w:bCs w:val="false"/>
                  <w:i w:val="false"/>
                  <w:iCs w:val="false"/>
                </w:rPr>
                <w:t xml:space="preserve">11.1</w:t>
              </w:r>
            </w:fldSimple>
          </w:p>
        </w:tc>
      </w:tr>
    </w:tbl>
    <w:p>
      <w:pPr>
        <w:pStyle w:val="Heading1"/>
        <w:pageBreakBefore/>
        <w:numPr>
          <w:ilvl w:val="0"/>
          <w:numId w:val="2"/>
        </w:numPr>
        <w:spacing w:after="140" w:before="240"/>
      </w:pPr>
      <w:r>
        <w:t xml:space="preserve">S</w:t>
      </w:r>
      <w:bookmarkStart w:name="sec_2" w:id="1"/>
      <w:r>
        <w:rPr>
          <w:b w:val="false"/>
          <w:bCs w:val="false"/>
          <w:i w:val="false"/>
          <w:iCs w:val="false"/>
        </w:rPr>
        <w:t xml:space="preserve">ervice Specifications, Supply and Install Items</w:t>
      </w:r>
      <w:bookmarkEnd w:id="1"/>
    </w:p>
    <w:p>
      <w:pPr>
        <w:pStyle w:val="Heading2"/>
        <w:numPr>
          <w:ilvl w:val="1"/>
          <w:numId w:val="2"/>
        </w:numPr>
        <w:spacing w:after="140" w:before="260"/>
      </w:pPr>
      <w:r>
        <w:t xml:space="preserve">S</w:t>
      </w:r>
      <w:bookmarkStart w:name="sec_2_1" w:id="1"/>
      <w:r>
        <w:rPr>
          <w:b w:val="false"/>
          <w:bCs w:val="false"/>
          <w:i w:val="false"/>
          <w:iCs w:val="false"/>
        </w:rPr>
        <w:t xml:space="preserve">ystem integration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2.1.1</w:t>
            </w:r>
            <w:r>
              <w:rPr>
                <w:b w:val="false"/>
                <w:bCs w:val="false"/>
                <w:i w:val="false"/>
                <w:iCs w:val="false"/>
              </w:rPr>
              <w:t xml:space="preserve"> End-to-end integration services for seamless data exchange between NRIS and the Personalization and Mailing System</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 single integration gateway, held by the Data Preparation Service, carries every exchange with NRIS: production requests, secure demographic and biometric transfer, personalization and issuance, quality and production monitoring, mail processing and dispatch, status tracking and reporting, reprint and replacement, and audit and traceability. Inkript accepts single-point responsibility for the integration.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2&quot;">
              <w:r>
                <w:rPr>
                  <w:rStyle w:val="Hyperlink"/>
                  <w:b w:val="false"/>
                  <w:bCs w:val="false"/>
                  <w:i w:val="false"/>
                  <w:iCs w:val="false"/>
                </w:rPr>
                <w:t xml:space="preserve">1.2</w:t>
              </w:r>
            </w:fldSimple>
            <w:r>
              <w:rPr>
                <w:b w:val="false"/>
                <w:bCs w:val="false"/>
                <w:i w:val="false"/>
                <w:iCs w:val="false"/>
              </w:rPr>
              <w:t xml:space="preserve">, </w:t>
            </w:r>
            <w:fldSimple w:instr="HYPERLINK &quot;Document-5-Technical-Proposal-System-Architecture.docx&quot; \l &quot;sec_6_4&quot;">
              <w:r>
                <w:rPr>
                  <w:rStyle w:val="Hyperlink"/>
                  <w:b w:val="false"/>
                  <w:bCs w:val="false"/>
                  <w:i w:val="false"/>
                  <w:iCs w:val="false"/>
                </w:rPr>
                <w:t xml:space="preserve">6.4</w:t>
              </w:r>
            </w:fldSimple>
            <w:r>
              <w:rPr>
                <w:b w:val="false"/>
                <w:bCs w:val="false"/>
                <w:i w:val="false"/>
                <w:iCs w:val="false"/>
              </w:rPr>
              <w:t xml:space="preserve"> and </w:t>
            </w:r>
            <w:fldSimple w:instr="HYPERLINK &quot;Document-5-Technical-Proposal-System-Architecture.docx&quot; \l &quot;sec_7_1&quot;">
              <w:r>
                <w:rPr>
                  <w:rStyle w:val="Hyperlink"/>
                  <w:b w:val="false"/>
                  <w:bCs w:val="false"/>
                  <w:i w:val="false"/>
                  <w:iCs w:val="false"/>
                </w:rPr>
                <w:t xml:space="preserve">7.1</w:t>
              </w:r>
            </w:fldSimple>
          </w:p>
        </w:tc>
      </w:tr>
      <w:tr>
        <w:tc>
          <w:tcPr>
            <w:tcW w:type="dxa" w:w="2000"/>
            <w:tcMar>
              <w:top w:type="dxa" w:w="60"/>
              <w:left w:type="dxa" w:w="100"/>
              <w:bottom w:type="dxa" w:w="60"/>
              <w:right w:type="dxa" w:w="100"/>
            </w:tcMar>
          </w:tcPr>
          <w:p>
            <w:pPr>
              <w:spacing w:after="0" w:before="0"/>
            </w:pPr>
            <w:r>
              <w:rPr>
                <w:b/>
                <w:bCs/>
                <w:i w:val="false"/>
                <w:iCs w:val="false"/>
              </w:rPr>
              <w:t xml:space="preserve">2.1.3.1.1</w:t>
            </w:r>
            <w:r>
              <w:rPr>
                <w:b w:val="false"/>
                <w:bCs w:val="false"/>
                <w:i w:val="false"/>
                <w:iCs w:val="false"/>
              </w:rPr>
              <w:t xml:space="preserve"> Design, develop, test and deploy NRIS interfaces supporting REST, SOAP, file transfer, queues and database integration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Inkript designs each interface in an Interface Control Document and develops, tests and deploys its production side over REST APIs, SOAP web services, secure file transfer, message queues and middleware, or database integration. As clarified in the Responses to Queries 003 and Clarifications to Queries 005, NRB developers build the NRIS side and the Purchaser provides its API.</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5&quot;">
              <w:r>
                <w:rPr>
                  <w:rStyle w:val="Hyperlink"/>
                  <w:b w:val="false"/>
                  <w:bCs w:val="false"/>
                  <w:i w:val="false"/>
                  <w:iCs w:val="false"/>
                </w:rPr>
                <w:t xml:space="preserve">2.5</w:t>
              </w:r>
            </w:fldSimple>
          </w:p>
        </w:tc>
      </w:tr>
      <w:tr>
        <w:tc>
          <w:tcPr>
            <w:tcW w:type="dxa" w:w="2000"/>
            <w:tcMar>
              <w:top w:type="dxa" w:w="60"/>
              <w:left w:type="dxa" w:w="100"/>
              <w:bottom w:type="dxa" w:w="60"/>
              <w:right w:type="dxa" w:w="100"/>
            </w:tcMar>
          </w:tcPr>
          <w:p>
            <w:pPr>
              <w:spacing w:after="0" w:before="0"/>
            </w:pPr>
            <w:r>
              <w:rPr>
                <w:b/>
                <w:bCs/>
                <w:i w:val="false"/>
                <w:iCs w:val="false"/>
              </w:rPr>
              <w:t xml:space="preserve">2.1.3.2.1</w:t>
            </w:r>
            <w:r>
              <w:rPr>
                <w:b w:val="false"/>
                <w:bCs w:val="false"/>
                <w:i w:val="false"/>
                <w:iCs w:val="false"/>
              </w:rPr>
              <w:t xml:space="preserve"> Analyze NRIS data structures, map fields, develop transformation rules, implement validation and cleansing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NRIS data is analyzed in discovery by data dictionary review and profiling of NRIS test data. Each field is mapped in the Data Mapping and Transformation Document, transformation rules for dates, names, images and addresses are applied in one place, and every record is validated before queuing, with failures held and reported to NRIS.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3&quot;">
              <w:r>
                <w:rPr>
                  <w:rStyle w:val="Hyperlink"/>
                  <w:b w:val="false"/>
                  <w:bCs w:val="false"/>
                  <w:i w:val="false"/>
                  <w:iCs w:val="false"/>
                </w:rPr>
                <w:t xml:space="preserve">7.3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3&quot;">
              <w:r>
                <w:rPr>
                  <w:rStyle w:val="Hyperlink"/>
                  <w:b w:val="false"/>
                  <w:bCs w:val="false"/>
                  <w:i w:val="false"/>
                  <w:iCs w:val="false"/>
                </w:rPr>
                <w:t xml:space="preserve">2.3</w:t>
              </w:r>
            </w:fldSimple>
          </w:p>
        </w:tc>
      </w:tr>
      <w:tr>
        <w:tc>
          <w:tcPr>
            <w:tcW w:type="dxa" w:w="2000"/>
            <w:tcMar>
              <w:top w:type="dxa" w:w="60"/>
              <w:left w:type="dxa" w:w="100"/>
              <w:bottom w:type="dxa" w:w="60"/>
              <w:right w:type="dxa" w:w="100"/>
            </w:tcMar>
          </w:tcPr>
          <w:p>
            <w:pPr>
              <w:spacing w:after="0" w:before="0"/>
            </w:pPr>
            <w:r>
              <w:rPr>
                <w:b/>
                <w:bCs/>
                <w:i w:val="false"/>
                <w:iCs w:val="false"/>
              </w:rPr>
              <w:t xml:space="preserve">2.1.3.2.2</w:t>
            </w:r>
            <w:r>
              <w:rPr>
                <w:b w:val="false"/>
                <w:bCs w:val="false"/>
                <w:i w:val="false"/>
                <w:iCs w:val="false"/>
              </w:rPr>
              <w:t xml:space="preserve"> Exchanged data elements: listed demographic, biometric and card data</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field-level mapping carries demographic data (National ID Number, names, date of birth, gender, nationality, address, district, Traditional Authority and card serial number, which the System returns to NRIS), biometric data (facial image, fingerprint references, signature image) and card data (issue date, expiry date, type and status).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3&quot;">
              <w:r>
                <w:rPr>
                  <w:rStyle w:val="Hyperlink"/>
                  <w:b w:val="false"/>
                  <w:bCs w:val="false"/>
                  <w:i w:val="false"/>
                  <w:iCs w:val="false"/>
                </w:rPr>
                <w:t xml:space="preserve">7.3</w:t>
              </w:r>
            </w:fldSimple>
          </w:p>
        </w:tc>
      </w:tr>
      <w:tr>
        <w:tc>
          <w:tcPr>
            <w:tcW w:type="dxa" w:w="2000"/>
            <w:tcMar>
              <w:top w:type="dxa" w:w="60"/>
              <w:left w:type="dxa" w:w="100"/>
              <w:bottom w:type="dxa" w:w="60"/>
              <w:right w:type="dxa" w:w="100"/>
            </w:tcMar>
          </w:tcPr>
          <w:p>
            <w:pPr>
              <w:spacing w:after="0" w:before="0"/>
            </w:pPr>
            <w:r>
              <w:rPr>
                <w:b/>
                <w:bCs/>
                <w:i w:val="false"/>
                <w:iCs w:val="false"/>
              </w:rPr>
              <w:t xml:space="preserve">2.1.3.3.1</w:t>
            </w:r>
            <w:r>
              <w:rPr>
                <w:b w:val="false"/>
                <w:bCs w:val="false"/>
                <w:i w:val="false"/>
                <w:iCs w:val="false"/>
              </w:rPr>
              <w:t xml:space="preserve"> Secure exchange: end-to-end encryption, TLS, certificates, PKI authentication, integrity validation, key management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All exchanges run over TLS 1.2 or higher, personal and biometric payloads are encrypted end to end, both systems authenticate each other by PKI certificates rather than shared secrets, every exchange carries an integrity check, and interface keys are held in protected storage with controlled access and scheduled rotation.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4&quot;">
              <w:r>
                <w:rPr>
                  <w:rStyle w:val="Hyperlink"/>
                  <w:b w:val="false"/>
                  <w:bCs w:val="false"/>
                  <w:i w:val="false"/>
                  <w:iCs w:val="false"/>
                </w:rPr>
                <w:t xml:space="preserve">7.4</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2000"/>
            <w:tcMar>
              <w:top w:type="dxa" w:w="60"/>
              <w:left w:type="dxa" w:w="100"/>
              <w:bottom w:type="dxa" w:w="60"/>
              <w:right w:type="dxa" w:w="100"/>
            </w:tcMar>
          </w:tcPr>
          <w:p>
            <w:pPr>
              <w:spacing w:after="0" w:before="0"/>
            </w:pPr>
            <w:r>
              <w:rPr>
                <w:b/>
                <w:bCs/>
                <w:i w:val="false"/>
                <w:iCs w:val="false"/>
              </w:rPr>
              <w:t xml:space="preserve">2.1.3.4.1</w:t>
            </w:r>
            <w:r>
              <w:rPr>
                <w:b w:val="false"/>
                <w:bCs w:val="false"/>
                <w:i w:val="false"/>
                <w:iCs w:val="false"/>
              </w:rPr>
              <w:t xml:space="preserve"> Configure middleware, orchestration workflows, message routing, exception handling and retry mechanisms where required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Middleware is configured where an exchange needs routing, translation or decoupling. Orchestration workflows sequence multi-step exchanges, messages are routed by content and type, failed exchanges are held and raised rather than discarded, and retries run on a defined schedule with a limit, after which the exchange becomes a recorded exception.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2.1.3.5.1</w:t>
            </w:r>
            <w:r>
              <w:rPr>
                <w:b w:val="false"/>
                <w:bCs w:val="false"/>
                <w:i w:val="false"/>
                <w:iCs w:val="false"/>
              </w:rPr>
              <w:t xml:space="preserve"> Secure NRIS database connectivity, read-only and transactional interfaces, synchronization and performance optimization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Where the Purchaser approves it, database connections run encrypted from defined hosts under named service accounts, read-only for retrieval and transactional where write access is approved, with scheduled synchronization and queries indexed to production access patterns. As clarified in Clarifications to Queries 005, the main route is the NRIS API the Purchaser provides.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5&quot;">
              <w:r>
                <w:rPr>
                  <w:rStyle w:val="Hyperlink"/>
                  <w:b w:val="false"/>
                  <w:bCs w:val="false"/>
                  <w:i w:val="false"/>
                  <w:iCs w:val="false"/>
                </w:rPr>
                <w:t xml:space="preserve">7.5</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2000"/>
            <w:tcMar>
              <w:top w:type="dxa" w:w="60"/>
              <w:left w:type="dxa" w:w="100"/>
              <w:bottom w:type="dxa" w:w="60"/>
              <w:right w:type="dxa" w:w="100"/>
            </w:tcMar>
          </w:tcPr>
          <w:p>
            <w:pPr>
              <w:spacing w:after="0" w:before="0"/>
            </w:pPr>
            <w:r>
              <w:rPr>
                <w:b/>
                <w:bCs/>
                <w:i w:val="false"/>
                <w:iCs w:val="false"/>
              </w:rPr>
              <w:t xml:space="preserve">2.1.3.6.1</w:t>
            </w:r>
            <w:r>
              <w:rPr>
                <w:b w:val="false"/>
                <w:bCs w:val="false"/>
                <w:i w:val="false"/>
                <w:iCs w:val="false"/>
              </w:rPr>
              <w:t xml:space="preserve"> Support real-time transactions and batch processing for requests, status, alerts, reprints and historical data</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Card production requests, card status updates and production alerts are exchanged in real time. Daily production batches, bulk reprints and historical data synchronization run as scheduled batches, using secure file transfer where suited. Both modes write to the same records and audit trail, so each card has one history.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7_6&quot;">
              <w:r>
                <w:rPr>
                  <w:rStyle w:val="Hyperlink"/>
                  <w:b w:val="false"/>
                  <w:bCs w:val="false"/>
                  <w:i w:val="false"/>
                  <w:iCs w:val="false"/>
                </w:rPr>
                <w:t xml:space="preserve">7.6</w:t>
              </w:r>
            </w:fldSimple>
          </w:p>
        </w:tc>
      </w:tr>
      <w:tr>
        <w:tc>
          <w:tcPr>
            <w:tcW w:type="dxa" w:w="2000"/>
            <w:tcMar>
              <w:top w:type="dxa" w:w="60"/>
              <w:left w:type="dxa" w:w="100"/>
              <w:bottom w:type="dxa" w:w="60"/>
              <w:right w:type="dxa" w:w="100"/>
            </w:tcMar>
          </w:tcPr>
          <w:p>
            <w:pPr>
              <w:spacing w:after="0" w:before="0"/>
            </w:pPr>
            <w:r>
              <w:rPr>
                <w:b/>
                <w:bCs/>
                <w:i w:val="false"/>
                <w:iCs w:val="false"/>
              </w:rPr>
              <w:t xml:space="preserve">2.1.3.7.1</w:t>
            </w:r>
            <w:r>
              <w:rPr>
                <w:b w:val="false"/>
                <w:bCs w:val="false"/>
                <w:i w:val="false"/>
                <w:iCs w:val="false"/>
              </w:rPr>
              <w:t xml:space="preserve"> Implement transaction logging, security logging, audit trail synchronization and user activity tracking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Every boundary exchange is logged with direction, payload reference, outcome and time. Authentication, certificate and access events are security-logged, operator and administrator actions are tracked by named identity, and production audit records are aligned with the NRIS audit trail. Audit records are tamper-proof and time-synchronized.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and </w:t>
            </w:r>
            <w:fldSimple w:instr="HYPERLINK &quot;Document-5-Technical-Proposal-System-Architecture.docx&quot; \l &quot;sec_10_6&quot;">
              <w:r>
                <w:rPr>
                  <w:rStyle w:val="Hyperlink"/>
                  <w:b w:val="false"/>
                  <w:bCs w:val="false"/>
                  <w:i w:val="false"/>
                  <w:iCs w:val="false"/>
                </w:rPr>
                <w:t xml:space="preserve">10.6</w:t>
              </w:r>
            </w:fldSimple>
          </w:p>
        </w:tc>
      </w:tr>
      <w:tr>
        <w:tc>
          <w:tcPr>
            <w:tcW w:type="dxa" w:w="2000"/>
            <w:tcMar>
              <w:top w:type="dxa" w:w="60"/>
              <w:left w:type="dxa" w:w="100"/>
              <w:bottom w:type="dxa" w:w="60"/>
              <w:right w:type="dxa" w:w="100"/>
            </w:tcMar>
          </w:tcPr>
          <w:p>
            <w:pPr>
              <w:spacing w:after="0" w:before="0"/>
            </w:pPr>
            <w:r>
              <w:rPr>
                <w:b/>
                <w:bCs/>
                <w:i w:val="false"/>
                <w:iCs w:val="false"/>
              </w:rPr>
              <w:t xml:space="preserve">2.1.3.7.2</w:t>
            </w:r>
            <w:r>
              <w:rPr>
                <w:b w:val="false"/>
                <w:bCs w:val="false"/>
                <w:i w:val="false"/>
                <w:iCs w:val="false"/>
              </w:rPr>
              <w:t xml:space="preserve"> All transactions traceable from NRIS through card production and mailing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Every record is keyed to the National Identity Number and the card serial number, and every stage writes against that key. A card is traceable from the retrieved NRIS request through validation, preparation, signing, marking, verification, packaging and dispatch to delivery confirmation, and blank card states are also published to NRIS.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7_14&quot;">
              <w:r>
                <w:rPr>
                  <w:rStyle w:val="Hyperlink"/>
                  <w:b w:val="false"/>
                  <w:bCs w:val="false"/>
                  <w:i w:val="false"/>
                  <w:iCs w:val="false"/>
                </w:rPr>
                <w:t xml:space="preserve">7.14</w:t>
              </w:r>
            </w:fldSimple>
          </w:p>
        </w:tc>
      </w:tr>
      <w:tr>
        <w:tc>
          <w:tcPr>
            <w:tcW w:type="dxa" w:w="2000"/>
            <w:tcMar>
              <w:top w:type="dxa" w:w="60"/>
              <w:left w:type="dxa" w:w="100"/>
              <w:bottom w:type="dxa" w:w="60"/>
              <w:right w:type="dxa" w:w="100"/>
            </w:tcMar>
          </w:tcPr>
          <w:p>
            <w:pPr>
              <w:spacing w:after="0" w:before="0"/>
            </w:pPr>
            <w:r>
              <w:rPr>
                <w:b/>
                <w:bCs/>
                <w:i w:val="false"/>
                <w:iCs w:val="false"/>
              </w:rPr>
              <w:t xml:space="preserve">2.1.3.8.1</w:t>
            </w:r>
            <w:r>
              <w:rPr>
                <w:b w:val="false"/>
                <w:bCs w:val="false"/>
                <w:i w:val="false"/>
                <w:iCs w:val="false"/>
              </w:rPr>
              <w:t xml:space="preserve"> Integrate with NRIS disaster recovery, support failover and ensure continuity of card production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Interfaces are configured against the NRIS recovery endpoints as well as the primary, interface components run on the clustered platform with automatic failover, and retrieved work keeps being produced while NRIS is unavailable. As clarified in Clarifications to Queries 005, the secondary environment is provisioned at the existing NRB disaster recovery site in Blantyre.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5&quot;">
              <w:r>
                <w:rPr>
                  <w:rStyle w:val="Hyperlink"/>
                  <w:b w:val="false"/>
                  <w:bCs w:val="false"/>
                  <w:i w:val="false"/>
                  <w:iCs w:val="false"/>
                </w:rPr>
                <w:t xml:space="preserve">7.15</w:t>
              </w:r>
            </w:fldSimple>
            <w:r>
              <w:rPr>
                <w:b w:val="false"/>
                <w:bCs w:val="false"/>
                <w:i w:val="false"/>
                <w:iCs w:val="false"/>
              </w:rPr>
              <w:t xml:space="preserve"> and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1&quot;">
              <w:r>
                <w:rPr>
                  <w:rStyle w:val="Hyperlink"/>
                  <w:b w:val="false"/>
                  <w:bCs w:val="false"/>
                  <w:i w:val="false"/>
                  <w:iCs w:val="false"/>
                </w:rPr>
                <w:t xml:space="preserve">8.1</w:t>
              </w:r>
            </w:fldSimple>
          </w:p>
        </w:tc>
      </w:tr>
      <w:tr>
        <w:tc>
          <w:tcPr>
            <w:tcW w:type="dxa" w:w="2000"/>
            <w:tcMar>
              <w:top w:type="dxa" w:w="60"/>
              <w:left w:type="dxa" w:w="100"/>
              <w:bottom w:type="dxa" w:w="60"/>
              <w:right w:type="dxa" w:w="100"/>
            </w:tcMar>
          </w:tcPr>
          <w:p>
            <w:pPr>
              <w:spacing w:after="0" w:before="0"/>
            </w:pPr>
            <w:r>
              <w:rPr>
                <w:b/>
                <w:bCs/>
                <w:i w:val="false"/>
                <w:iCs w:val="false"/>
              </w:rPr>
              <w:t xml:space="preserve">2.1.4.1.1</w:t>
            </w:r>
            <w:r>
              <w:rPr>
                <w:b w:val="false"/>
                <w:bCs w:val="false"/>
                <w:i w:val="false"/>
                <w:iCs w:val="false"/>
              </w:rPr>
              <w:t xml:space="preserve"> Receive NRIS production requests and automatically validate, queue, batch and generate production jobs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Data Preparation Service retrieves requests released by NRIS and checks each against the database, so none is queued twice. Records are validated, queued, assembled into batches of configurable size, 500 to 1,000 cards in normal operation, and prepared into print-ready jobs released to a production line.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Document-5-Technical-Proposal-System-Architecture.docx&quot; \l &quot;sec_6_4&quot;">
              <w:r>
                <w:rPr>
                  <w:rStyle w:val="Hyperlink"/>
                  <w:b w:val="false"/>
                  <w:bCs w:val="false"/>
                  <w:i w:val="false"/>
                  <w:iCs w:val="false"/>
                </w:rPr>
                <w:t xml:space="preserve">6.4</w:t>
              </w:r>
            </w:fldSimple>
            <w:r>
              <w:rPr>
                <w:b w:val="false"/>
                <w:bCs w:val="false"/>
                <w:i w:val="false"/>
                <w:iCs w:val="false"/>
              </w:rPr>
              <w:t xml:space="preserve"> and </w:t>
            </w:r>
            <w:fldSimple w:instr="HYPERLINK &quot;Document-5-Technical-Proposal-System-Architecture.docx&quot; \l &quot;sec_7_7&quot;">
              <w:r>
                <w:rPr>
                  <w:rStyle w:val="Hyperlink"/>
                  <w:b w:val="false"/>
                  <w:bCs w:val="false"/>
                  <w:i w:val="false"/>
                  <w:iCs w:val="false"/>
                </w:rPr>
                <w:t xml:space="preserve">7.7</w:t>
              </w:r>
            </w:fldSimple>
          </w:p>
        </w:tc>
      </w:tr>
      <w:tr>
        <w:tc>
          <w:tcPr>
            <w:tcW w:type="dxa" w:w="2000"/>
            <w:tcMar>
              <w:top w:type="dxa" w:w="60"/>
              <w:left w:type="dxa" w:w="100"/>
              <w:bottom w:type="dxa" w:w="60"/>
              <w:right w:type="dxa" w:w="100"/>
            </w:tcMar>
          </w:tcPr>
          <w:p>
            <w:pPr>
              <w:spacing w:after="0" w:before="0"/>
            </w:pPr>
            <w:r>
              <w:rPr>
                <w:b/>
                <w:bCs/>
                <w:i w:val="false"/>
                <w:iCs w:val="false"/>
              </w:rPr>
              <w:t xml:space="preserve">2.1.4.2.1</w:t>
            </w:r>
            <w:r>
              <w:rPr>
                <w:b w:val="false"/>
                <w:bCs w:val="false"/>
                <w:i w:val="false"/>
                <w:iCs w:val="false"/>
              </w:rPr>
              <w:t xml:space="preserve"> Retrieve approved records, biographical data, photograph, signature and issuance information from NRIS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For each released record the System retrieves the approved citizen record, biographical information, the photograph, checked against ICAO size and resolution specifications, the signature image and card issuance information over the secured exchange. Data is held only while production needs it, so the facility keeps no second copy of the register.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8&quot;">
              <w:r>
                <w:rPr>
                  <w:rStyle w:val="Hyperlink"/>
                  <w:b w:val="false"/>
                  <w:bCs w:val="false"/>
                  <w:i w:val="false"/>
                  <w:iCs w:val="false"/>
                </w:rPr>
                <w:t xml:space="preserve">7.8</w:t>
              </w:r>
            </w:fldSimple>
            <w:r>
              <w:rPr>
                <w:b w:val="false"/>
                <w:bCs w:val="false"/>
                <w:i w:val="false"/>
                <w:iCs w:val="false"/>
              </w:rPr>
              <w:t xml:space="preserve"> and </w:t>
            </w:r>
            <w:fldSimple w:instr="HYPERLINK &quot;Document-5-Technical-Proposal-System-Architecture.docx&quot; \l &quot;sec_10_2&quot;">
              <w:r>
                <w:rPr>
                  <w:rStyle w:val="Hyperlink"/>
                  <w:b w:val="false"/>
                  <w:bCs w:val="false"/>
                  <w:i w:val="false"/>
                  <w:iCs w:val="false"/>
                </w:rPr>
                <w:t xml:space="preserve">10.2</w:t>
              </w:r>
            </w:fldSimple>
          </w:p>
        </w:tc>
      </w:tr>
      <w:tr>
        <w:tc>
          <w:tcPr>
            <w:tcW w:type="dxa" w:w="2000"/>
            <w:tcMar>
              <w:top w:type="dxa" w:w="60"/>
              <w:left w:type="dxa" w:w="100"/>
              <w:bottom w:type="dxa" w:w="60"/>
              <w:right w:type="dxa" w:w="100"/>
            </w:tcMar>
          </w:tcPr>
          <w:p>
            <w:pPr>
              <w:spacing w:after="0" w:before="0"/>
            </w:pPr>
            <w:r>
              <w:rPr>
                <w:b/>
                <w:bCs/>
                <w:i w:val="false"/>
                <w:iCs w:val="false"/>
              </w:rPr>
              <w:t xml:space="preserve">2.1.4.3.1</w:t>
            </w:r>
            <w:r>
              <w:rPr>
                <w:b w:val="false"/>
                <w:bCs w:val="false"/>
                <w:i w:val="false"/>
                <w:iCs w:val="false"/>
              </w:rPr>
              <w:t xml:space="preserve"> Generate personalization data and layouts, print and laser engrave, encode barcode data (as amended)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amended by Addendum No. 2 and clarified in the Response to Clarifications 001, the cards are chipless. The Data Preparation Service binds each record into the approved template, the laser engraves all visual and personalization data within the card body, and the digitally signed biometric QR code is encoded as the machine-readable element.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w:t>
            </w:r>
            <w:fldSimple w:instr="HYPERLINK &quot;Document-5-Technical-Proposal-System-Architecture.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Document-5-Technical-Proposal-System-Architecture.docx&quot; \l &quot;sec_7_9&quot;">
              <w:r>
                <w:rPr>
                  <w:rStyle w:val="Hyperlink"/>
                  <w:b w:val="false"/>
                  <w:bCs w:val="false"/>
                  <w:i w:val="false"/>
                  <w:iCs w:val="false"/>
                </w:rPr>
                <w:t xml:space="preserve">7.9</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2.1.4.4.1</w:t>
            </w:r>
            <w:r>
              <w:rPr>
                <w:b w:val="false"/>
                <w:bCs w:val="false"/>
                <w:i w:val="false"/>
                <w:iCs w:val="false"/>
              </w:rPr>
              <w:t xml:space="preserve"> Verify printing, engraving and machine-readable elements, reject defective cards, update NRIS on outcomes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Engraved data is read by optical character recognition and checked against the source record, engraving quality is assessed against acceptance thresholds, and the QR code is compared byte for byte with the signed payload. Failing cards are diverted and recorded with a reason, and every outcome is reported to NRIS. [CONFIRM: The Laser personalization system datasheet lists vision inspection (OCR, OCV and 2D code validation of every card) as an optional module. Inkript to confirm it is in the configuration ordered, since </w:t>
            </w:r>
            <w:r>
              <w:rPr>
                <w:b w:val="false"/>
                <w:bCs w:val="false"/>
                <w:i w:val="false"/>
                <w:iCs w:val="false"/>
              </w:rPr>
              <w:t xml:space="preserve">System Architecture Section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commits to in-line verification of every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and </w:t>
            </w:r>
            <w:fldSimple w:instr="HYPERLINK &quot;Document-5-Technical-Proposal-System-Architecture.docx&quot; \l &quot;sec_7_9&quot;">
              <w:r>
                <w:rPr>
                  <w:rStyle w:val="Hyperlink"/>
                  <w:b w:val="false"/>
                  <w:bCs w:val="false"/>
                  <w:i w:val="false"/>
                  <w:iCs w:val="false"/>
                </w:rPr>
                <w:t xml:space="preserve">7.9</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2.1.4.5.1</w:t>
            </w:r>
            <w:r>
              <w:rPr>
                <w:b w:val="false"/>
                <w:bCs w:val="false"/>
                <w:i w:val="false"/>
                <w:iCs w:val="false"/>
              </w:rPr>
              <w:t xml:space="preserve"> Integrate with NRIS to manage new, replacement, duplicate, lost, damaged and cancelled cards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transaction is identified by the type on the NRIS record. New, replacement, duplicate, lost and damaged card requests are produced, with superseded cards flagged in NRIS, and a cancellation flags the record and withdraws any card in production. A unique card serial number distinguishes each physical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3&quot;">
              <w:r>
                <w:rPr>
                  <w:rStyle w:val="Hyperlink"/>
                  <w:b w:val="false"/>
                  <w:bCs w:val="false"/>
                  <w:i w:val="false"/>
                  <w:iCs w:val="false"/>
                </w:rPr>
                <w:t xml:space="preserve">2.3</w:t>
              </w:r>
            </w:fldSimple>
            <w:r>
              <w:rPr>
                <w:b w:val="false"/>
                <w:bCs w:val="false"/>
                <w:i w:val="false"/>
                <w:iCs w:val="false"/>
              </w:rPr>
              <w:t xml:space="preserve"> and </w:t>
            </w:r>
            <w:fldSimple w:instr="HYPERLINK &quot;Document-5-Technical-Proposal-System-Architecture.docx&quot; \l &quot;sec_7_10&quot;">
              <w:r>
                <w:rPr>
                  <w:rStyle w:val="Hyperlink"/>
                  <w:b w:val="false"/>
                  <w:bCs w:val="false"/>
                  <w:i w:val="false"/>
                  <w:iCs w:val="false"/>
                </w:rPr>
                <w:t xml:space="preserve">7.10</w:t>
              </w:r>
            </w:fldSimple>
          </w:p>
        </w:tc>
      </w:tr>
      <w:tr>
        <w:tc>
          <w:tcPr>
            <w:tcW w:type="dxa" w:w="2000"/>
            <w:tcMar>
              <w:top w:type="dxa" w:w="60"/>
              <w:left w:type="dxa" w:w="100"/>
              <w:bottom w:type="dxa" w:w="60"/>
              <w:right w:type="dxa" w:w="100"/>
            </w:tcMar>
          </w:tcPr>
          <w:p>
            <w:pPr>
              <w:spacing w:after="0" w:before="0"/>
            </w:pPr>
            <w:r>
              <w:rPr>
                <w:b/>
                <w:bCs/>
                <w:i w:val="false"/>
                <w:iCs w:val="false"/>
              </w:rPr>
              <w:t xml:space="preserve">2.1.4.6.1</w:t>
            </w:r>
            <w:r>
              <w:rPr>
                <w:b w:val="false"/>
                <w:bCs w:val="false"/>
                <w:i w:val="false"/>
                <w:iCs w:val="false"/>
              </w:rPr>
              <w:t xml:space="preserve"> Automatically update NRIS on each production status, from job received to delivered or rejected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Status is published to NRIS automatically, without operator action, for job received, card in production, quality control completed, card personalized, card packaged, card dispatched, card delivered and card rejected. Each event carries the National Identity Number, card serial number, job and time.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4&quot;">
              <w:r>
                <w:rPr>
                  <w:rStyle w:val="Hyperlink"/>
                  <w:b w:val="false"/>
                  <w:bCs w:val="false"/>
                  <w:i w:val="false"/>
                  <w:iCs w:val="false"/>
                </w:rPr>
                <w:t xml:space="preserve">6.4</w:t>
              </w:r>
            </w:fldSimple>
            <w:r>
              <w:rPr>
                <w:b w:val="false"/>
                <w:bCs w:val="false"/>
                <w:i w:val="false"/>
                <w:iCs w:val="false"/>
              </w:rPr>
              <w:t xml:space="preserve"> and </w:t>
            </w:r>
            <w:fldSimple w:instr="HYPERLINK &quot;Document-5-Technical-Proposal-System-Architecture.docx&quot; \l &quot;sec_7_11&quot;">
              <w:r>
                <w:rPr>
                  <w:rStyle w:val="Hyperlink"/>
                  <w:b w:val="false"/>
                  <w:bCs w:val="false"/>
                  <w:i w:val="false"/>
                  <w:iCs w:val="false"/>
                </w:rPr>
                <w:t xml:space="preserve">7.11</w:t>
              </w:r>
            </w:fldSimple>
          </w:p>
        </w:tc>
      </w:tr>
      <w:tr>
        <w:tc>
          <w:tcPr>
            <w:tcW w:type="dxa" w:w="2000"/>
            <w:tcMar>
              <w:top w:type="dxa" w:w="60"/>
              <w:left w:type="dxa" w:w="100"/>
              <w:bottom w:type="dxa" w:w="60"/>
              <w:right w:type="dxa" w:w="100"/>
            </w:tcMar>
          </w:tcPr>
          <w:p>
            <w:pPr>
              <w:spacing w:after="0" w:before="0"/>
            </w:pPr>
            <w:r>
              <w:rPr>
                <w:b/>
                <w:bCs/>
                <w:i w:val="false"/>
                <w:iCs w:val="false"/>
              </w:rPr>
              <w:t xml:space="preserve">2.1.4.7.1</w:t>
            </w:r>
            <w:r>
              <w:rPr>
                <w:b w:val="false"/>
                <w:bCs w:val="false"/>
                <w:i w:val="false"/>
                <w:iCs w:val="false"/>
              </w:rPr>
              <w:t xml:space="preserve"> Integrate mailing with NRIS: mail pieces, labels, envelope personalization, address validation, dispatch tracking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Mailing and Dispatch Management System supplies each mailing line with carrier content and destination drawn from the NRIS record, generates mail pieces and dispatch batch labels, prints the address and dispatch reference on the carrier behind the envelope window, validates destination data before printing, and tracks each mail piece.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fldSimple w:instr="HYPERLINK &quot;Document-5-Technical-Proposal-System-Architecture.docx&quot; \l &quot;sec_5_7&quot;">
              <w:r>
                <w:rPr>
                  <w:rStyle w:val="Hyperlink"/>
                  <w:b w:val="false"/>
                  <w:bCs w:val="false"/>
                  <w:i w:val="false"/>
                  <w:iCs w:val="false"/>
                </w:rPr>
                <w:t xml:space="preserve">5.7</w:t>
              </w:r>
            </w:fldSimple>
            <w:r>
              <w:rPr>
                <w:b w:val="false"/>
                <w:bCs w:val="false"/>
                <w:i w:val="false"/>
                <w:iCs w:val="false"/>
              </w:rPr>
              <w:t xml:space="preserve">,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and </w:t>
            </w:r>
            <w:fldSimple w:instr="HYPERLINK &quot;Document-5-Technical-Proposal-System-Architecture.docx&quot; \l &quot;sec_8_6&quot;">
              <w:r>
                <w:rPr>
                  <w:rStyle w:val="Hyperlink"/>
                  <w:b w:val="false"/>
                  <w:bCs w:val="false"/>
                  <w:i w:val="false"/>
                  <w:iCs w:val="false"/>
                </w:rPr>
                <w:t xml:space="preserve">8.6</w:t>
              </w:r>
            </w:fldSimple>
          </w:p>
        </w:tc>
      </w:tr>
      <w:tr>
        <w:tc>
          <w:tcPr>
            <w:tcW w:type="dxa" w:w="2000"/>
            <w:tcMar>
              <w:top w:type="dxa" w:w="60"/>
              <w:left w:type="dxa" w:w="100"/>
              <w:bottom w:type="dxa" w:w="60"/>
              <w:right w:type="dxa" w:w="100"/>
            </w:tcMar>
          </w:tcPr>
          <w:p>
            <w:pPr>
              <w:spacing w:after="0" w:before="0"/>
            </w:pPr>
            <w:r>
              <w:rPr>
                <w:b/>
                <w:bCs/>
                <w:i w:val="false"/>
                <w:iCs w:val="false"/>
              </w:rPr>
              <w:t xml:space="preserve">2.1.4.8.1</w:t>
            </w:r>
            <w:r>
              <w:rPr>
                <w:b w:val="false"/>
                <w:bCs w:val="false"/>
                <w:i w:val="false"/>
                <w:iCs w:val="false"/>
              </w:rPr>
              <w:t xml:space="preserve"> Provide dispatch status updates, batch tracking, consignment tracking and delivery confirmation updates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 dispatch record is created for every mail piece, pieces are grouped into dispatch batches tracked as consignments with a handover record, and status advances by event to dispatched, delivered and available for collection. As clarified in Clarifications to Queries 005, Inkript engages the postal operator and connects the System to its tracking service. [CONFIRM: Clarifications to Queries 005 makes the Supplier solely responsible for engaging and contracting with postal operators. </w:t>
            </w:r>
            <w:r>
              <w:rPr>
                <w:b w:val="false"/>
                <w:bCs w:val="false"/>
                <w:i w:val="false"/>
                <w:iCs w:val="false"/>
              </w:rPr>
              <w:t xml:space="preserve">System Architecture Section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r>
              <w:rPr>
                <w:b w:val="false"/>
                <w:bCs w:val="false"/>
                <w:i w:val="false"/>
                <w:iCs w:val="false"/>
              </w:rPr>
              <w:t xml:space="preserve">System Architecture Section </w:t>
            </w:r>
            <w:fldSimple w:instr="HYPERLINK &quot;Document-5-Technical-Proposal-System-Architecture.docx&quot; \l &quot;sec_13_2&quot;">
              <w:r>
                <w:rPr>
                  <w:rStyle w:val="Hyperlink"/>
                  <w:b w:val="false"/>
                  <w:bCs w:val="false"/>
                  <w:i w:val="false"/>
                  <w:iCs w:val="false"/>
                </w:rPr>
                <w:t xml:space="preserve">13.2</w:t>
              </w:r>
            </w:fldSimple>
            <w:r>
              <w:rPr>
                <w:b w:val="false"/>
                <w:bCs w:val="false"/>
                <w:i w:val="false"/>
                <w:iCs w:val="false"/>
              </w:rPr>
              <w:t xml:space="preserve"> commit only to engaging the operator and connecting its tracking service, and keep physical delivery with NRB. Inkript to confirm the contracting position and align both sections.]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8_1&quot;">
              <w:r>
                <w:rPr>
                  <w:rStyle w:val="Hyperlink"/>
                  <w:b w:val="false"/>
                  <w:bCs w:val="false"/>
                  <w:i w:val="false"/>
                  <w:iCs w:val="false"/>
                </w:rPr>
                <w:t xml:space="preserve">8.1</w:t>
              </w:r>
            </w:fldSimple>
            <w:r>
              <w:rPr>
                <w:b w:val="false"/>
                <w:bCs w:val="false"/>
                <w:i w:val="false"/>
                <w:iCs w:val="false"/>
              </w:rPr>
              <w:t xml:space="preserve">, </w:t>
            </w:r>
            <w:fldSimple w:instr="HYPERLINK &quot;Document-5-Technical-Proposal-System-Architecture.docx&quot; \l &quot;sec_8_2&quot;">
              <w:r>
                <w:rPr>
                  <w:rStyle w:val="Hyperlink"/>
                  <w:b w:val="false"/>
                  <w:bCs w:val="false"/>
                  <w:i w:val="false"/>
                  <w:iCs w:val="false"/>
                </w:rPr>
                <w:t xml:space="preserve">8.2</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and </w:t>
            </w:r>
            <w:fldSimple w:instr="HYPERLINK &quot;Document-5-Technical-Proposal-System-Architecture.docx&quot; \l &quot;sec_8_6&quot;">
              <w:r>
                <w:rPr>
                  <w:rStyle w:val="Hyperlink"/>
                  <w:b w:val="false"/>
                  <w:bCs w:val="false"/>
                  <w:i w:val="false"/>
                  <w:iCs w:val="false"/>
                </w:rPr>
                <w:t xml:space="preserve">8.6</w:t>
              </w:r>
            </w:fldSimple>
          </w:p>
        </w:tc>
      </w:tr>
      <w:tr>
        <w:tc>
          <w:tcPr>
            <w:tcW w:type="dxa" w:w="2000"/>
            <w:tcMar>
              <w:top w:type="dxa" w:w="60"/>
              <w:left w:type="dxa" w:w="100"/>
              <w:bottom w:type="dxa" w:w="60"/>
              <w:right w:type="dxa" w:w="100"/>
            </w:tcMar>
          </w:tcPr>
          <w:p>
            <w:pPr>
              <w:spacing w:after="0" w:before="0"/>
            </w:pPr>
            <w:r>
              <w:rPr>
                <w:b/>
                <w:bCs/>
                <w:i w:val="false"/>
                <w:iCs w:val="false"/>
              </w:rPr>
              <w:t xml:space="preserve">2.1.4.8.2</w:t>
            </w:r>
            <w:r>
              <w:rPr>
                <w:b w:val="false"/>
                <w:bCs w:val="false"/>
                <w:i w:val="false"/>
                <w:iCs w:val="false"/>
              </w:rPr>
              <w:t xml:space="preserve"> Feed dispatch and delivery status information back into NRIS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Card packaged, card dispatched and card delivered events are sent to NRIS over the single interface, each attributable to one physical card, and advance the NRIS document tracker that sends the cardholder SMS. Events raised during an interface outage are held and published in order on recovery.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5&quot;">
              <w:r>
                <w:rPr>
                  <w:rStyle w:val="Hyperlink"/>
                  <w:b w:val="false"/>
                  <w:bCs w:val="false"/>
                  <w:i w:val="false"/>
                  <w:iCs w:val="false"/>
                </w:rPr>
                <w:t xml:space="preserve">7.15</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and </w:t>
            </w:r>
            <w:fldSimple w:instr="HYPERLINK &quot;Document-5-Technical-Proposal-System-Architecture.docx&quot; \l &quot;sec_8_4&quot;">
              <w:r>
                <w:rPr>
                  <w:rStyle w:val="Hyperlink"/>
                  <w:b w:val="false"/>
                  <w:bCs w:val="false"/>
                  <w:i w:val="false"/>
                  <w:iCs w:val="false"/>
                </w:rPr>
                <w:t xml:space="preserve">8.4</w:t>
              </w:r>
            </w:fldSimple>
          </w:p>
        </w:tc>
      </w:tr>
      <w:tr>
        <w:tc>
          <w:tcPr>
            <w:tcW w:type="dxa" w:w="2000"/>
            <w:tcMar>
              <w:top w:type="dxa" w:w="60"/>
              <w:left w:type="dxa" w:w="100"/>
              <w:bottom w:type="dxa" w:w="60"/>
              <w:right w:type="dxa" w:w="100"/>
            </w:tcMar>
          </w:tcPr>
          <w:p>
            <w:pPr>
              <w:spacing w:after="0" w:before="0"/>
            </w:pPr>
            <w:r>
              <w:rPr>
                <w:b/>
                <w:bCs/>
                <w:i w:val="false"/>
                <w:iCs w:val="false"/>
              </w:rPr>
              <w:t xml:space="preserve">2.1.4.9</w:t>
            </w:r>
            <w:r>
              <w:rPr>
                <w:b w:val="false"/>
                <w:bCs w:val="false"/>
                <w:i w:val="false"/>
                <w:iCs w:val="false"/>
              </w:rPr>
              <w:t xml:space="preserve"> Reprint and exception management (RFP gives the heading only, with no requirement text)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Reprint requests from NRIS follow the standard production path and produce a card with a new serial number, while in-job rejects are reproduced within their job. Unreachable interfaces, exhausted retries, failed validation, incomplete records, withdrawn cards and duplicate requests each follow a defined handling path and are recorded against the affected record.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2.1.4.10.1</w:t>
            </w:r>
            <w:r>
              <w:rPr>
                <w:b w:val="false"/>
                <w:bCs w:val="false"/>
                <w:i w:val="false"/>
                <w:iCs w:val="false"/>
              </w:rPr>
              <w:t xml:space="preserve"> Reporting integration: daily volumes, issuance statistics, rejection rates, throughput, mailing performance, SLA compliance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Production data is made available to NRIS reporting for daily volumes by line and shift, issuance statistics by transaction type, rejection rates with reasons, personalization throughput against the contractual rate, mailing performance and SLA compliance. Reports draw on the card-level records that drive status feedback, so figures reconcile.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7_13&quot;">
              <w:r>
                <w:rPr>
                  <w:rStyle w:val="Hyperlink"/>
                  <w:b w:val="false"/>
                  <w:bCs w:val="false"/>
                  <w:i w:val="false"/>
                  <w:iCs w:val="false"/>
                </w:rPr>
                <w:t xml:space="preserve">7.13</w:t>
              </w:r>
            </w:fldSimple>
          </w:p>
        </w:tc>
      </w:tr>
      <w:tr>
        <w:tc>
          <w:tcPr>
            <w:tcW w:type="dxa" w:w="2000"/>
            <w:tcMar>
              <w:top w:type="dxa" w:w="60"/>
              <w:left w:type="dxa" w:w="100"/>
              <w:bottom w:type="dxa" w:w="60"/>
              <w:right w:type="dxa" w:w="100"/>
            </w:tcMar>
          </w:tcPr>
          <w:p>
            <w:pPr>
              <w:spacing w:after="0" w:before="0"/>
            </w:pPr>
            <w:r>
              <w:rPr>
                <w:b/>
                <w:bCs/>
                <w:i w:val="false"/>
                <w:iCs w:val="false"/>
              </w:rPr>
              <w:t xml:space="preserve">2.1.5.1</w:t>
            </w:r>
            <w:r>
              <w:rPr>
                <w:b w:val="false"/>
                <w:bCs w:val="false"/>
                <w:i w:val="false"/>
                <w:iCs w:val="false"/>
              </w:rPr>
              <w:t xml:space="preserve"> Interface testing: API testing, data validation testing and error handling testing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Every operation on every interface is tested against its Interface Control Document, field-level validation covers type, length, permitted and boundary values, and each documented error condition is induced. Testing runs against simulators from week 9 and against the NRIS test environment from week 18.</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2.1.5.2.1</w:t>
            </w:r>
            <w:r>
              <w:rPr>
                <w:b w:val="false"/>
                <w:bCs w:val="false"/>
                <w:i w:val="false"/>
                <w:iCs w:val="false"/>
              </w:rPr>
              <w:t xml:space="preserve"> System integration testing of end-to-end data flow, process orchestration and exception handling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System integration testing in weeks 23 and 24, with NRB developers, verifies end-to-end data flow from request retrieval to delivery confirmation and orchestration across the full production sequence, and exercises exception handling by inducing each defined exception condition rather than by inspection.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2.1.5.3.1</w:t>
            </w:r>
            <w:r>
              <w:rPr>
                <w:b w:val="false"/>
                <w:bCs w:val="false"/>
                <w:i w:val="false"/>
                <w:iCs w:val="false"/>
              </w:rPr>
              <w:t xml:space="preserve"> Performance testing of throughput, batch processing capacity and concurrent transaction processing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Performance testing verifies throughput against the required production rate, batch processing at the daily volume and concurrent transactions at expected load, at the contracted volumes rather than a reduced scale, through throughput benchmarks, load, stress, transaction integrity and sustained operation tests.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2.1.5.4.1</w:t>
            </w:r>
            <w:r>
              <w:rPr>
                <w:b w:val="false"/>
                <w:bCs w:val="false"/>
                <w:i w:val="false"/>
                <w:iCs w:val="false"/>
              </w:rPr>
              <w:t xml:space="preserve"> Security testing: vulnerability assessment, penetration testing, authentication testing and encryption validation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Vulnerability assessment covers the integration components and hosts. An independent third party penetration-tests the full deployed configuration in week 24, with retest in weeks 25 and 26. Authentication testing confirms that invalid and expired certificates and unauthenticated requests are refused, and encryption validation confirms that weak protocols and ciphers are rejected.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6_2&quot;">
              <w:r>
                <w:rPr>
                  <w:rStyle w:val="Hyperlink"/>
                  <w:b w:val="false"/>
                  <w:bCs w:val="false"/>
                  <w:i w:val="false"/>
                  <w:iCs w:val="false"/>
                </w:rPr>
                <w:t xml:space="preserve">6.2</w:t>
              </w:r>
            </w:fldSimple>
          </w:p>
        </w:tc>
      </w:tr>
      <w:tr>
        <w:tc>
          <w:tcPr>
            <w:tcW w:type="dxa" w:w="2000"/>
            <w:tcMar>
              <w:top w:type="dxa" w:w="60"/>
              <w:left w:type="dxa" w:w="100"/>
              <w:bottom w:type="dxa" w:w="60"/>
              <w:right w:type="dxa" w:w="100"/>
            </w:tcMar>
          </w:tcPr>
          <w:p>
            <w:pPr>
              <w:spacing w:after="0" w:before="0"/>
            </w:pPr>
            <w:r>
              <w:rPr>
                <w:b/>
                <w:bCs/>
                <w:i w:val="false"/>
                <w:iCs w:val="false"/>
              </w:rPr>
              <w:t xml:space="preserve">2.1.5.5.1</w:t>
            </w:r>
            <w:r>
              <w:rPr>
                <w:b w:val="false"/>
                <w:bCs w:val="false"/>
                <w:i w:val="false"/>
                <w:iCs w:val="false"/>
              </w:rPr>
              <w:t xml:space="preserve"> Support NRIS stakeholders in user acceptance testing of workflows, functions and reports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 weeks 24 and 25, NRIS stakeholders validate business workflows, functional requirements and reporting requirements against the live integration, supported by the Supplier with test data preparation, scenario walkthroughs, defect triage and retesting. The outcome is recorded in the User Acceptance Test report.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2.1.6.1</w:t>
            </w:r>
            <w:r>
              <w:rPr>
                <w:b w:val="false"/>
                <w:bCs w:val="false"/>
                <w:i w:val="false"/>
                <w:iCs w:val="false"/>
              </w:rPr>
              <w:t xml:space="preserve"> Provide the thirteen listed integration deliverables, from strategy to knowledge transfer materials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All thirteen are provided: integration strategy and methodology, detailed architecture, Interface Control Documents, API specifications, data mapping and transformation documents, security design, test plans and scripts, integration, performance and security test reports, as-built integration documentation, operations and maintenance manuals, and knowledge transfer and training materials,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7&quot;">
              <w:r>
                <w:rPr>
                  <w:rStyle w:val="Hyperlink"/>
                  <w:b w:val="false"/>
                  <w:bCs w:val="false"/>
                  <w:i w:val="false"/>
                  <w:iCs w:val="false"/>
                </w:rPr>
                <w:t xml:space="preserve">7.17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p>
        </w:tc>
      </w:tr>
    </w:tbl>
    <w:p>
      <w:pPr>
        <w:spacing w:after="140"/>
      </w:pPr>
    </w:p>
    <w:p>
      <w:pPr>
        <w:pStyle w:val="Heading2"/>
        <w:numPr>
          <w:ilvl w:val="1"/>
          <w:numId w:val="2"/>
        </w:numPr>
        <w:spacing w:after="140" w:before="260"/>
      </w:pPr>
      <w:r>
        <w:t xml:space="preserve">T</w:t>
      </w:r>
      <w:bookmarkStart w:name="sec_2_2" w:id="1"/>
      <w:r>
        <w:rPr>
          <w:b w:val="false"/>
          <w:bCs w:val="false"/>
          <w:i w:val="false"/>
          <w:iCs w:val="false"/>
        </w:rPr>
        <w:t xml:space="preserve">raining and training materials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20"/>
        <w:gridCol w:w="4900"/>
        <w:gridCol w:w="2000"/>
      </w:tblGrid>
      <w:tr>
        <w:trPr>
          <w:tblHeader/>
        </w:trPr>
        <w:tc>
          <w:tcPr>
            <w:tcW w:type="dxa" w:w="212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0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20"/>
            <w:tcMar>
              <w:top w:type="dxa" w:w="60"/>
              <w:left w:type="dxa" w:w="100"/>
              <w:bottom w:type="dxa" w:w="60"/>
              <w:right w:type="dxa" w:w="100"/>
            </w:tcMar>
          </w:tcPr>
          <w:p>
            <w:pPr>
              <w:spacing w:after="0" w:before="0"/>
            </w:pPr>
            <w:r>
              <w:rPr>
                <w:b/>
                <w:bCs/>
                <w:i w:val="false"/>
                <w:iCs w:val="false"/>
              </w:rPr>
              <w:t xml:space="preserve">2.2.1.1.1</w:t>
            </w:r>
            <w:r>
              <w:rPr>
                <w:b w:val="false"/>
                <w:bCs w:val="false"/>
                <w:i w:val="false"/>
                <w:iCs w:val="false"/>
              </w:rPr>
              <w:t xml:space="preserve"> User training participants: operators, issuance, quality assurance, mailing, helpdesk staff and supervisors</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User training covers card personalization operators, card issuance officers, quality assurance staff, mailing and dispatch officers, helpdesk and frontline support staff, and supervisors. As requested in the Responses to Queries 003, Inkript recommends 24 user trainees against a minimum of 16 to staff two shifts, with prerequisites for each role.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3&quot;">
              <w:r>
                <w:rPr>
                  <w:rStyle w:val="Hyperlink"/>
                  <w:b w:val="false"/>
                  <w:bCs w:val="false"/>
                  <w:i w:val="false"/>
                  <w:iCs w:val="false"/>
                </w:rPr>
                <w:t xml:space="preserve">3.3</w:t>
              </w:r>
            </w:fldSimple>
          </w:p>
        </w:tc>
      </w:tr>
      <w:tr>
        <w:tc>
          <w:tcPr>
            <w:tcW w:type="dxa" w:w="2120"/>
            <w:tcMar>
              <w:top w:type="dxa" w:w="60"/>
              <w:left w:type="dxa" w:w="100"/>
              <w:bottom w:type="dxa" w:w="60"/>
              <w:right w:type="dxa" w:w="100"/>
            </w:tcMar>
          </w:tcPr>
          <w:p>
            <w:pPr>
              <w:spacing w:after="0" w:before="0"/>
            </w:pPr>
            <w:r>
              <w:rPr>
                <w:b/>
                <w:bCs/>
                <w:i w:val="false"/>
                <w:iCs w:val="false"/>
              </w:rPr>
              <w:t xml:space="preserve">2.2.1.1.2</w:t>
            </w:r>
            <w:r>
              <w:rPr>
                <w:b w:val="false"/>
                <w:bCs w:val="false"/>
                <w:i w:val="false"/>
                <w:iCs w:val="false"/>
              </w:rPr>
              <w:t xml:space="preserve"> User training minimum curriculum, from system overview to reporting</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Role-based modules cover system overview, card personalization operations, mailing system operations, quality assurance procedures, routine operations, security and compliance, and reporting, plus card issuance workflow, helpdesk support and scenario-based supervised production. The longest path, a supervisor's, is nine and a half days.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3&quot;">
              <w:r>
                <w:rPr>
                  <w:rStyle w:val="Hyperlink"/>
                  <w:b w:val="false"/>
                  <w:bCs w:val="false"/>
                  <w:i w:val="false"/>
                  <w:iCs w:val="false"/>
                </w:rPr>
                <w:t xml:space="preserve">3.3</w:t>
              </w:r>
            </w:fldSimple>
            <w:r>
              <w:rPr>
                <w:b w:val="false"/>
                <w:bCs w:val="false"/>
                <w:i w:val="false"/>
                <w:iCs w:val="false"/>
              </w:rPr>
              <w:t xml:space="preserve"> and </w:t>
            </w:r>
            <w:fldSimple w:instr="HYPERLINK &quot;Preliminary-Project-Plan-Information-System-Sub-Plans.docx&quot; \l &quot;sec_3_8&quot;">
              <w:r>
                <w:rPr>
                  <w:rStyle w:val="Hyperlink"/>
                  <w:b w:val="false"/>
                  <w:bCs w:val="false"/>
                  <w:i w:val="false"/>
                  <w:iCs w:val="false"/>
                </w:rPr>
                <w:t xml:space="preserve">3.8</w:t>
              </w:r>
            </w:fldSimple>
          </w:p>
        </w:tc>
      </w:tr>
      <w:tr>
        <w:tc>
          <w:tcPr>
            <w:tcW w:type="dxa" w:w="2120"/>
            <w:tcMar>
              <w:top w:type="dxa" w:w="60"/>
              <w:left w:type="dxa" w:w="100"/>
              <w:bottom w:type="dxa" w:w="60"/>
              <w:right w:type="dxa" w:w="100"/>
            </w:tcMar>
          </w:tcPr>
          <w:p>
            <w:pPr>
              <w:spacing w:after="0" w:before="0"/>
            </w:pPr>
            <w:r>
              <w:rPr>
                <w:b/>
                <w:bCs/>
                <w:i w:val="false"/>
                <w:iCs w:val="false"/>
              </w:rPr>
              <w:t xml:space="preserve">2.2.1.1.3 (1 of 3)</w:t>
            </w:r>
            <w:r>
              <w:rPr>
                <w:b w:val="false"/>
                <w:bCs w:val="false"/>
                <w:i w:val="false"/>
                <w:iCs w:val="false"/>
              </w:rPr>
              <w:t xml:space="preserve"> Mode of user training: classroom, hands-on, on-the-job coaching, live demonstrations, scenario simulations</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User training combines classroom theory, hands-on practice on the deployed system, live production environment demonstrations, scenario-based simulations of faults and exceptions, and on-the-job coaching through operational acceptance. Trainees run pilot production under supervision as their practical assessment.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Preliminary-Project-Plan-Information-System-Sub-Plans.docx&quot; \l &quot;sec_3_3&quot;">
              <w:r>
                <w:rPr>
                  <w:rStyle w:val="Hyperlink"/>
                  <w:b w:val="false"/>
                  <w:bCs w:val="false"/>
                  <w:i w:val="false"/>
                  <w:iCs w:val="false"/>
                </w:rPr>
                <w:t xml:space="preserve">3.3</w:t>
              </w:r>
            </w:fldSimple>
          </w:p>
        </w:tc>
      </w:tr>
      <w:tr>
        <w:tc>
          <w:tcPr>
            <w:tcW w:type="dxa" w:w="2120"/>
            <w:tcMar>
              <w:top w:type="dxa" w:w="60"/>
              <w:left w:type="dxa" w:w="100"/>
              <w:bottom w:type="dxa" w:w="60"/>
              <w:right w:type="dxa" w:w="100"/>
            </w:tcMar>
          </w:tcPr>
          <w:p>
            <w:pPr>
              <w:spacing w:after="0" w:before="0"/>
            </w:pPr>
            <w:r>
              <w:rPr>
                <w:b/>
                <w:bCs/>
                <w:i w:val="false"/>
                <w:iCs w:val="false"/>
              </w:rPr>
              <w:t xml:space="preserve">2.2.1.1.3 (2 of 3)</w:t>
            </w:r>
            <w:r>
              <w:rPr>
                <w:b w:val="false"/>
                <w:bCs w:val="false"/>
                <w:i w:val="false"/>
                <w:iCs w:val="false"/>
              </w:rPr>
              <w:t xml:space="preserve"> User training materials, from manuals to training reports, in editable electronic format and PDF</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Materials comprise user manuals, Standard Operating Procedures, quick reference guides for each console, presentation slides, practical exercise manuals, video tutorials for equipment tasks, assessment tests, attendance registers and training reports, all in English and delivered in editable electronic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3_3&quot;">
              <w:r>
                <w:rPr>
                  <w:rStyle w:val="Hyperlink"/>
                  <w:b w:val="false"/>
                  <w:bCs w:val="false"/>
                  <w:i w:val="false"/>
                  <w:iCs w:val="false"/>
                </w:rPr>
                <w:t xml:space="preserve">3.3</w:t>
              </w:r>
            </w:fldSimple>
            <w:r>
              <w:rPr>
                <w:b w:val="false"/>
                <w:bCs w:val="false"/>
                <w:i w:val="false"/>
                <w:iCs w:val="false"/>
              </w:rPr>
              <w:t xml:space="preserve"> and </w:t>
            </w:r>
            <w:fldSimple w:instr="HYPERLINK &quot;Preliminary-Project-Plan-Information-System-Sub-Plans.docx&quot; \l &quot;sec_3_7&quot;">
              <w:r>
                <w:rPr>
                  <w:rStyle w:val="Hyperlink"/>
                  <w:b w:val="false"/>
                  <w:bCs w:val="false"/>
                  <w:i w:val="false"/>
                  <w:iCs w:val="false"/>
                </w:rPr>
                <w:t xml:space="preserve">3.7</w:t>
              </w:r>
            </w:fldSimple>
          </w:p>
        </w:tc>
      </w:tr>
      <w:tr>
        <w:tc>
          <w:tcPr>
            <w:tcW w:type="dxa" w:w="2120"/>
            <w:tcMar>
              <w:top w:type="dxa" w:w="60"/>
              <w:left w:type="dxa" w:w="100"/>
              <w:bottom w:type="dxa" w:w="60"/>
              <w:right w:type="dxa" w:w="100"/>
            </w:tcMar>
          </w:tcPr>
          <w:p>
            <w:pPr>
              <w:spacing w:after="0" w:before="0"/>
            </w:pPr>
            <w:r>
              <w:rPr>
                <w:b/>
                <w:bCs/>
                <w:i w:val="false"/>
                <w:iCs w:val="false"/>
              </w:rPr>
              <w:t xml:space="preserve">2.2.1.1.3 (3 of 3)</w:t>
            </w:r>
            <w:r>
              <w:rPr>
                <w:b w:val="false"/>
                <w:bCs w:val="false"/>
                <w:i w:val="false"/>
                <w:iCs w:val="false"/>
              </w:rPr>
              <w:t xml:space="preserve"> User training location: on site, OEM facilities where needed, hands-on on the deployed system</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Hands-on training is delivered on the deployed system at the Card Production Facility, classroom sessions on site or at Government of Malawi training facilities, and specialized equipment training at the equipment manufacturer's facility during factory acceptance and on site.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3_6&quot;">
              <w:r>
                <w:rPr>
                  <w:rStyle w:val="Hyperlink"/>
                  <w:b w:val="false"/>
                  <w:bCs w:val="false"/>
                  <w:i w:val="false"/>
                  <w:iCs w:val="false"/>
                </w:rPr>
                <w:t xml:space="preserve">3.6</w:t>
              </w:r>
            </w:fldSimple>
          </w:p>
        </w:tc>
      </w:tr>
      <w:tr>
        <w:tc>
          <w:tcPr>
            <w:tcW w:type="dxa" w:w="2120"/>
            <w:tcMar>
              <w:top w:type="dxa" w:w="60"/>
              <w:left w:type="dxa" w:w="100"/>
              <w:bottom w:type="dxa" w:w="60"/>
              <w:right w:type="dxa" w:w="100"/>
            </w:tcMar>
          </w:tcPr>
          <w:p>
            <w:pPr>
              <w:spacing w:after="0" w:before="0"/>
            </w:pPr>
            <w:r>
              <w:rPr>
                <w:b/>
                <w:bCs/>
                <w:i w:val="false"/>
                <w:iCs w:val="false"/>
              </w:rPr>
              <w:t xml:space="preserve">2.2.2.1.1</w:t>
            </w:r>
            <w:r>
              <w:rPr>
                <w:b w:val="false"/>
                <w:bCs w:val="false"/>
                <w:i w:val="false"/>
                <w:iCs w:val="false"/>
              </w:rPr>
              <w:t xml:space="preserve"> Technical training participants: system, database, network, security, infrastructure staff and technical support</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Technical training covers system administrators, database administrators, network engineers, security engineers, infrastructure engineers and technical support staff. Inkript recommends 15 technical trainees against a minimum of nine, so that no technical role rests on one trained person, with stated prerequisites for each role.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4&quot;">
              <w:r>
                <w:rPr>
                  <w:rStyle w:val="Hyperlink"/>
                  <w:b w:val="false"/>
                  <w:bCs w:val="false"/>
                  <w:i w:val="false"/>
                  <w:iCs w:val="false"/>
                </w:rPr>
                <w:t xml:space="preserve">3.4</w:t>
              </w:r>
            </w:fldSimple>
          </w:p>
        </w:tc>
      </w:tr>
      <w:tr>
        <w:tc>
          <w:tcPr>
            <w:tcW w:type="dxa" w:w="2120"/>
            <w:tcMar>
              <w:top w:type="dxa" w:w="60"/>
              <w:left w:type="dxa" w:w="100"/>
              <w:bottom w:type="dxa" w:w="60"/>
              <w:right w:type="dxa" w:w="100"/>
            </w:tcMar>
          </w:tcPr>
          <w:p>
            <w:pPr>
              <w:spacing w:after="0" w:before="0"/>
            </w:pPr>
            <w:r>
              <w:rPr>
                <w:b/>
                <w:bCs/>
                <w:i w:val="false"/>
                <w:iCs w:val="false"/>
              </w:rPr>
              <w:t xml:space="preserve">2.2.2.1.2</w:t>
            </w:r>
            <w:r>
              <w:rPr>
                <w:b w:val="false"/>
                <w:bCs w:val="false"/>
                <w:i w:val="false"/>
                <w:iCs w:val="false"/>
              </w:rPr>
              <w:t xml:space="preserve"> Technical curriculum: architecture, hardware, software, database, network, security, APIs, troubleshooting, monitoring</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Modules cover system architecture, hardware administration, software administration, database administration, network and infrastructure, security administration including hardware security modules, integration and APIs, troubleshooting and support, and performance monitoring, plus backup, recovery and failover. The longest path, the system administrator's, is eight and a half days.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4&quot;">
              <w:r>
                <w:rPr>
                  <w:rStyle w:val="Hyperlink"/>
                  <w:b w:val="false"/>
                  <w:bCs w:val="false"/>
                  <w:i w:val="false"/>
                  <w:iCs w:val="false"/>
                </w:rPr>
                <w:t xml:space="preserve">3.4</w:t>
              </w:r>
            </w:fldSimple>
          </w:p>
        </w:tc>
      </w:tr>
      <w:tr>
        <w:tc>
          <w:tcPr>
            <w:tcW w:type="dxa" w:w="2120"/>
            <w:tcMar>
              <w:top w:type="dxa" w:w="60"/>
              <w:left w:type="dxa" w:w="100"/>
              <w:bottom w:type="dxa" w:w="60"/>
              <w:right w:type="dxa" w:w="100"/>
            </w:tcMar>
          </w:tcPr>
          <w:p>
            <w:pPr>
              <w:spacing w:after="0" w:before="0"/>
            </w:pPr>
            <w:r>
              <w:rPr>
                <w:b/>
                <w:bCs/>
                <w:i w:val="false"/>
                <w:iCs w:val="false"/>
              </w:rPr>
              <w:t xml:space="preserve">2.2.2.1.3 (1 of 3)</w:t>
            </w:r>
            <w:r>
              <w:rPr>
                <w:b w:val="false"/>
                <w:bCs w:val="false"/>
                <w:i w:val="false"/>
                <w:iCs w:val="false"/>
              </w:rPr>
              <w:t xml:space="preserve"> Mode of technical training, from advanced classroom to shadow support, with fault simulations</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Modes are advanced classroom training, hands-on laboratory sessions, equipment training by the manufacturer's certified trainers, troubleshooting workshops, live administration sessions, shadow support during installation and commissioning, and knowledge transfer sessions. Faults such as a stopped service, an expiring certificate and a failing NRIS exchange are induced in the training environment.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3_8&quot;">
              <w:r>
                <w:rPr>
                  <w:rStyle w:val="Hyperlink"/>
                  <w:b w:val="false"/>
                  <w:bCs w:val="false"/>
                  <w:i w:val="false"/>
                  <w:iCs w:val="false"/>
                </w:rPr>
                <w:t xml:space="preserve">3.8</w:t>
              </w:r>
            </w:fldSimple>
          </w:p>
        </w:tc>
      </w:tr>
      <w:tr>
        <w:tc>
          <w:tcPr>
            <w:tcW w:type="dxa" w:w="2120"/>
            <w:tcMar>
              <w:top w:type="dxa" w:w="60"/>
              <w:left w:type="dxa" w:w="100"/>
              <w:bottom w:type="dxa" w:w="60"/>
              <w:right w:type="dxa" w:w="100"/>
            </w:tcMar>
          </w:tcPr>
          <w:p>
            <w:pPr>
              <w:spacing w:after="0" w:before="0"/>
            </w:pPr>
            <w:r>
              <w:rPr>
                <w:b/>
                <w:bCs/>
                <w:i w:val="false"/>
                <w:iCs w:val="false"/>
              </w:rPr>
              <w:t xml:space="preserve">2.2.2.1.3 (2 of 3)</w:t>
            </w:r>
            <w:r>
              <w:rPr>
                <w:b w:val="false"/>
                <w:bCs w:val="false"/>
                <w:i w:val="false"/>
                <w:iCs w:val="false"/>
              </w:rPr>
              <w:t xml:space="preserve"> Technical training materials, from technical manuals to configuration backup templates, editable and PDF</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Technical materials comprise technical manuals, administration guides, installation manuals, configuration guides, as-built documentation, network diagrams, troubleshooting manuals, maintenance procedures, laboratory exercise guides and configuration backup templates, delivered in editable electronic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3_4&quot;">
              <w:r>
                <w:rPr>
                  <w:rStyle w:val="Hyperlink"/>
                  <w:b w:val="false"/>
                  <w:bCs w:val="false"/>
                  <w:i w:val="false"/>
                  <w:iCs w:val="false"/>
                </w:rPr>
                <w:t xml:space="preserve">3.4</w:t>
              </w:r>
            </w:fldSimple>
          </w:p>
        </w:tc>
      </w:tr>
      <w:tr>
        <w:tc>
          <w:tcPr>
            <w:tcW w:type="dxa" w:w="2120"/>
            <w:tcMar>
              <w:top w:type="dxa" w:w="60"/>
              <w:left w:type="dxa" w:w="100"/>
              <w:bottom w:type="dxa" w:w="60"/>
              <w:right w:type="dxa" w:w="100"/>
            </w:tcMar>
          </w:tcPr>
          <w:p>
            <w:pPr>
              <w:spacing w:after="0" w:before="0"/>
            </w:pPr>
            <w:r>
              <w:rPr>
                <w:b/>
                <w:bCs/>
                <w:i w:val="false"/>
                <w:iCs w:val="false"/>
              </w:rPr>
              <w:t xml:space="preserve">2.2.2.1.3 (3 of 3)</w:t>
            </w:r>
            <w:r>
              <w:rPr>
                <w:b w:val="false"/>
                <w:bCs w:val="false"/>
                <w:i w:val="false"/>
                <w:iCs w:val="false"/>
              </w:rPr>
              <w:t xml:space="preserve"> Technical training location: on site, OEM-authorized centers, dedicated lab, production environment for critical staff</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Technical classroom and laboratory sessions run on site in a dedicated training environment with the same software and versions as production, equipment training takes place at the manufacturer's facility during factory acceptance, and critical technical staff take live administration sessions on the production system.</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3_6&quot;">
              <w:r>
                <w:rPr>
                  <w:rStyle w:val="Hyperlink"/>
                  <w:b w:val="false"/>
                  <w:bCs w:val="false"/>
                  <w:i w:val="false"/>
                  <w:iCs w:val="false"/>
                </w:rPr>
                <w:t xml:space="preserve">3.6</w:t>
              </w:r>
            </w:fldSimple>
          </w:p>
        </w:tc>
      </w:tr>
      <w:tr>
        <w:tc>
          <w:tcPr>
            <w:tcW w:type="dxa" w:w="2120"/>
            <w:tcMar>
              <w:top w:type="dxa" w:w="60"/>
              <w:left w:type="dxa" w:w="100"/>
              <w:bottom w:type="dxa" w:w="60"/>
              <w:right w:type="dxa" w:w="100"/>
            </w:tcMar>
          </w:tcPr>
          <w:p>
            <w:pPr>
              <w:spacing w:after="0" w:before="0"/>
            </w:pPr>
            <w:r>
              <w:rPr>
                <w:b/>
                <w:bCs/>
                <w:i w:val="false"/>
                <w:iCs w:val="false"/>
              </w:rPr>
              <w:t xml:space="preserve">2.2.3.1.1</w:t>
            </w:r>
            <w:r>
              <w:rPr>
                <w:b w:val="false"/>
                <w:bCs w:val="false"/>
                <w:i w:val="false"/>
                <w:iCs w:val="false"/>
              </w:rPr>
              <w:t xml:space="preserve"> Management training participants: executives, operations, ICT, security and facility managers, audit staff</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Management training covers executive leadership, operations managers, ICT managers, security managers, facility managers, and audit and compliance personnel. Nine participants are recommended: two executives, two operations managers, one each from ICT, security and facility management, and two from audit and compliance.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5&quot;">
              <w:r>
                <w:rPr>
                  <w:rStyle w:val="Hyperlink"/>
                  <w:b w:val="false"/>
                  <w:bCs w:val="false"/>
                  <w:i w:val="false"/>
                  <w:iCs w:val="false"/>
                </w:rPr>
                <w:t xml:space="preserve">3.5</w:t>
              </w:r>
            </w:fldSimple>
          </w:p>
        </w:tc>
      </w:tr>
      <w:tr>
        <w:tc>
          <w:tcPr>
            <w:tcW w:type="dxa" w:w="2120"/>
            <w:tcMar>
              <w:top w:type="dxa" w:w="60"/>
              <w:left w:type="dxa" w:w="100"/>
              <w:bottom w:type="dxa" w:w="60"/>
              <w:right w:type="dxa" w:w="100"/>
            </w:tcMar>
          </w:tcPr>
          <w:p>
            <w:pPr>
              <w:spacing w:after="0" w:before="0"/>
            </w:pPr>
            <w:r>
              <w:rPr>
                <w:b/>
                <w:bCs/>
                <w:i w:val="false"/>
                <w:iCs w:val="false"/>
              </w:rPr>
              <w:t xml:space="preserve">2.2.3.1.2</w:t>
            </w:r>
            <w:r>
              <w:rPr>
                <w:b w:val="false"/>
                <w:bCs w:val="false"/>
                <w:i w:val="false"/>
                <w:iCs w:val="false"/>
              </w:rPr>
              <w:t xml:space="preserve"> Management curriculum: overview, governance, security, performance, continuity, maintenance and lifecycle, audit</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Modules cover solution overview, governance and operations, security and compliance including custody of the signing key, performance and reporting, business continuity, maintenance and lifecycle management including Document Signer certificate renewal, and audit and compliance including stock reconciliation and destruction certificates.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5&quot;">
              <w:r>
                <w:rPr>
                  <w:rStyle w:val="Hyperlink"/>
                  <w:b w:val="false"/>
                  <w:bCs w:val="false"/>
                  <w:i w:val="false"/>
                  <w:iCs w:val="false"/>
                </w:rPr>
                <w:t xml:space="preserve">3.5</w:t>
              </w:r>
            </w:fldSimple>
          </w:p>
        </w:tc>
      </w:tr>
      <w:tr>
        <w:tc>
          <w:tcPr>
            <w:tcW w:type="dxa" w:w="2120"/>
            <w:tcMar>
              <w:top w:type="dxa" w:w="60"/>
              <w:left w:type="dxa" w:w="100"/>
              <w:bottom w:type="dxa" w:w="60"/>
              <w:right w:type="dxa" w:w="100"/>
            </w:tcMar>
          </w:tcPr>
          <w:p>
            <w:pPr>
              <w:spacing w:after="0" w:before="0"/>
            </w:pPr>
            <w:r>
              <w:rPr>
                <w:b/>
                <w:bCs/>
                <w:i w:val="false"/>
                <w:iCs w:val="false"/>
              </w:rPr>
              <w:t xml:space="preserve">2.2.3.1.3 (1 of 3)</w:t>
            </w:r>
            <w:r>
              <w:rPr>
                <w:b w:val="false"/>
                <w:bCs w:val="false"/>
                <w:i w:val="false"/>
                <w:iCs w:val="false"/>
              </w:rPr>
              <w:t xml:space="preserve"> Mode of management training: executive briefings, workshops, strategy sessions, presentations, facilitated discussions</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Management training is delivered as a half-day executive briefing and two days of workshops, strategy sessions, presentations and facilitated discussions for managers, focused on oversight, governance and sustainability rather than technical operation. Executive sessions may be held virtually where appropriate. [GAP: </w:t>
            </w:r>
            <w:r>
              <w:rPr>
                <w:b w:val="false"/>
                <w:bCs w:val="false"/>
                <w:i w:val="false"/>
                <w:iCs w:val="false"/>
              </w:rPr>
              <w:t xml:space="preserve">Preliminary Project Plan Section </w:t>
            </w:r>
            <w:fldSimple w:instr="HYPERLINK &quot;Preliminary-Project-Plan-Information-System-Sub-Plans.docx&quot; \l &quot;sec_3_5&quot;">
              <w:r>
                <w:rPr>
                  <w:rStyle w:val="Hyperlink"/>
                  <w:b w:val="false"/>
                  <w:bCs w:val="false"/>
                  <w:i w:val="false"/>
                  <w:iCs w:val="false"/>
                </w:rPr>
                <w:t xml:space="preserve">3.5</w:t>
              </w:r>
            </w:fldSimple>
            <w:r>
              <w:rPr>
                <w:b w:val="false"/>
                <w:bCs w:val="false"/>
                <w:i w:val="false"/>
                <w:iCs w:val="false"/>
              </w:rPr>
              <w:t xml:space="preserve"> names an executive briefing, workshops and facilitated sessions, but not strategy sessions or presentations. Add both to its Mode and duration paragraph.]</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5&quot;">
              <w:r>
                <w:rPr>
                  <w:rStyle w:val="Hyperlink"/>
                  <w:b w:val="false"/>
                  <w:bCs w:val="false"/>
                  <w:i w:val="false"/>
                  <w:iCs w:val="false"/>
                </w:rPr>
                <w:t xml:space="preserve">3.5</w:t>
              </w:r>
            </w:fldSimple>
          </w:p>
        </w:tc>
      </w:tr>
      <w:tr>
        <w:tc>
          <w:tcPr>
            <w:tcW w:type="dxa" w:w="2120"/>
            <w:tcMar>
              <w:top w:type="dxa" w:w="60"/>
              <w:left w:type="dxa" w:w="100"/>
              <w:bottom w:type="dxa" w:w="60"/>
              <w:right w:type="dxa" w:w="100"/>
            </w:tcMar>
          </w:tcPr>
          <w:p>
            <w:pPr>
              <w:spacing w:after="0" w:before="0"/>
            </w:pPr>
            <w:r>
              <w:rPr>
                <w:b/>
                <w:bCs/>
                <w:i w:val="false"/>
                <w:iCs w:val="false"/>
              </w:rPr>
              <w:t xml:space="preserve">2.2.3.1.3 (2 of 3)</w:t>
            </w:r>
            <w:r>
              <w:rPr>
                <w:b w:val="false"/>
                <w:bCs w:val="false"/>
                <w:i w:val="false"/>
                <w:iCs w:val="false"/>
              </w:rPr>
              <w:t xml:space="preserve"> Management training materials: briefings, governance manuals, dashboards, SLA templates, risk, continuity, strategy guides</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Materials comprise executive briefing materials, governance manuals, operational dashboards, service level templates, risk management documentation, business continuity documentation and strategic operational guides. Dashboards are taught on the System's own production, quality and service level views.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5&quot;">
              <w:r>
                <w:rPr>
                  <w:rStyle w:val="Hyperlink"/>
                  <w:b w:val="false"/>
                  <w:bCs w:val="false"/>
                  <w:i w:val="false"/>
                  <w:iCs w:val="false"/>
                </w:rPr>
                <w:t xml:space="preserve">3.5</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1&quot;">
              <w:r>
                <w:rPr>
                  <w:rStyle w:val="Hyperlink"/>
                  <w:b w:val="false"/>
                  <w:bCs w:val="false"/>
                  <w:i w:val="false"/>
                  <w:iCs w:val="false"/>
                </w:rPr>
                <w:t xml:space="preserve">6.11</w:t>
              </w:r>
            </w:fldSimple>
          </w:p>
        </w:tc>
      </w:tr>
      <w:tr>
        <w:tc>
          <w:tcPr>
            <w:tcW w:type="dxa" w:w="2120"/>
            <w:tcMar>
              <w:top w:type="dxa" w:w="60"/>
              <w:left w:type="dxa" w:w="100"/>
              <w:bottom w:type="dxa" w:w="60"/>
              <w:right w:type="dxa" w:w="100"/>
            </w:tcMar>
          </w:tcPr>
          <w:p>
            <w:pPr>
              <w:spacing w:after="0" w:before="0"/>
            </w:pPr>
            <w:r>
              <w:rPr>
                <w:b/>
                <w:bCs/>
                <w:i w:val="false"/>
                <w:iCs w:val="false"/>
              </w:rPr>
              <w:t xml:space="preserve">2.2.3.1.3 (3 of 3)</w:t>
            </w:r>
            <w:r>
              <w:rPr>
                <w:b w:val="false"/>
                <w:bCs w:val="false"/>
                <w:i w:val="false"/>
                <w:iCs w:val="false"/>
              </w:rPr>
              <w:t xml:space="preserve"> Management training location: client headquarters, the facility or executive conference venues, virtual allowed</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Management training is held at NRB headquarters, on site at the Card Production Facility, or at executive conference facilities, and executive sessions are held virtually where appropriate. It is scheduled in week 26, ahead of operational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5&quot;">
              <w:r>
                <w:rPr>
                  <w:rStyle w:val="Hyperlink"/>
                  <w:b w:val="false"/>
                  <w:bCs w:val="false"/>
                  <w:i w:val="false"/>
                  <w:iCs w:val="false"/>
                </w:rPr>
                <w:t xml:space="preserve">3.5</w:t>
              </w:r>
            </w:fldSimple>
            <w:r>
              <w:rPr>
                <w:b w:val="false"/>
                <w:bCs w:val="false"/>
                <w:i w:val="false"/>
                <w:iCs w:val="false"/>
              </w:rPr>
              <w:t xml:space="preserve"> and </w:t>
            </w:r>
            <w:fldSimple w:instr="HYPERLINK &quot;Preliminary-Project-Plan-Information-System-Sub-Plans.docx&quot; \l &quot;sec_3_6&quot;">
              <w:r>
                <w:rPr>
                  <w:rStyle w:val="Hyperlink"/>
                  <w:b w:val="false"/>
                  <w:bCs w:val="false"/>
                  <w:i w:val="false"/>
                  <w:iCs w:val="false"/>
                </w:rPr>
                <w:t xml:space="preserve">3.6</w:t>
              </w:r>
            </w:fldSimple>
          </w:p>
        </w:tc>
      </w:tr>
    </w:tbl>
    <w:p>
      <w:pPr>
        <w:spacing w:after="140"/>
      </w:pPr>
    </w:p>
    <w:p>
      <w:pPr>
        <w:pStyle w:val="Heading2"/>
        <w:numPr>
          <w:ilvl w:val="1"/>
          <w:numId w:val="2"/>
        </w:numPr>
        <w:spacing w:after="140" w:before="260"/>
      </w:pPr>
      <w:r>
        <w:t xml:space="preserve">D</w:t>
      </w:r>
      <w:bookmarkStart w:name="sec_2_3" w:id="1"/>
      <w:r>
        <w:rPr>
          <w:b w:val="false"/>
          <w:bCs w:val="false"/>
          <w:i w:val="false"/>
          <w:iCs w:val="false"/>
        </w:rPr>
        <w:t xml:space="preserve">ocumentation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2.3.1.1 a)</w:t>
            </w:r>
            <w:r>
              <w:rPr>
                <w:b w:val="false"/>
                <w:bCs w:val="false"/>
                <w:i w:val="false"/>
                <w:iCs w:val="false"/>
              </w:rPr>
              <w:t xml:space="preserve"> User manuals: personalization software, issuance, mailing, quality assurance, workflow, reporting, system administration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User manuals for the card personalization software, card issuance, the mailing system, quality assurance and inspection, the card production workflow, reporting and dashboards, and system administration are delivered in week 24, before training. Each is versioned and approved under documentation control,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000"/>
            <w:tcMar>
              <w:top w:type="dxa" w:w="60"/>
              <w:left w:type="dxa" w:w="100"/>
              <w:bottom w:type="dxa" w:w="60"/>
              <w:right w:type="dxa" w:w="100"/>
            </w:tcMar>
          </w:tcPr>
          <w:p>
            <w:pPr>
              <w:spacing w:after="0" w:before="0"/>
            </w:pPr>
            <w:r>
              <w:rPr>
                <w:b/>
                <w:bCs/>
                <w:i w:val="false"/>
                <w:iCs w:val="false"/>
              </w:rPr>
              <w:t xml:space="preserve">2.3.1.1 b)</w:t>
            </w:r>
            <w:r>
              <w:rPr>
                <w:b w:val="false"/>
                <w:bCs w:val="false"/>
                <w:i w:val="false"/>
                <w:iCs w:val="false"/>
              </w:rPr>
              <w:t xml:space="preserve"> SOPs for production, printing, verification, dispatch, consumables, start-up, batches, escalation, incidents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Standard Operating Procedures cover card production, card printing, quality verification, dispatch and mailing, consumables replacement, daily start-up and shut-down, batch processing, escalation and incident reporting. They are drafted in week 5, finalized in week 24, taught from in training and proven usable in operational acceptance test 16.</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Change Management Plan Section </w:t>
            </w:r>
            <w:fldSimple w:instr="HYPERLINK &quot;Change-Management-Plan.docx&quot; \l &quot;sec_6_2&quot;">
              <w:r>
                <w:rPr>
                  <w:rStyle w:val="Hyperlink"/>
                  <w:b w:val="false"/>
                  <w:bCs w:val="false"/>
                  <w:i w:val="false"/>
                  <w:iCs w:val="false"/>
                </w:rPr>
                <w:t xml:space="preserve">6.2</w:t>
              </w:r>
            </w:fldSimple>
          </w:p>
        </w:tc>
      </w:tr>
      <w:tr>
        <w:tc>
          <w:tcPr>
            <w:tcW w:type="dxa" w:w="2000"/>
            <w:tcMar>
              <w:top w:type="dxa" w:w="60"/>
              <w:left w:type="dxa" w:w="100"/>
              <w:bottom w:type="dxa" w:w="60"/>
              <w:right w:type="dxa" w:w="100"/>
            </w:tcMar>
          </w:tcPr>
          <w:p>
            <w:pPr>
              <w:spacing w:after="0" w:before="0"/>
            </w:pPr>
            <w:r>
              <w:rPr>
                <w:b/>
                <w:bCs/>
                <w:i w:val="false"/>
                <w:iCs w:val="false"/>
              </w:rPr>
              <w:t xml:space="preserve">2.3.1.1 c)</w:t>
            </w:r>
            <w:r>
              <w:rPr>
                <w:b w:val="false"/>
                <w:bCs w:val="false"/>
                <w:i w:val="false"/>
                <w:iCs w:val="false"/>
              </w:rPr>
              <w:t xml:space="preserve"> Training materials: manuals, presentations, exercises, quick references, lab manuals, registers, reports, videos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Training manuals, presentations, practical exercise guides, quick reference guides, laboratory manuals and videos are delivered in week 24. Attendance registers, training reports and the competence matrix are issued as each course completes, all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3_7&quot;">
              <w:r>
                <w:rPr>
                  <w:rStyle w:val="Hyperlink"/>
                  <w:b w:val="false"/>
                  <w:bCs w:val="false"/>
                  <w:i w:val="false"/>
                  <w:iCs w:val="false"/>
                </w:rPr>
                <w:t xml:space="preserve">3.7</w:t>
              </w:r>
            </w:fldSimple>
          </w:p>
        </w:tc>
      </w:tr>
      <w:tr>
        <w:tc>
          <w:tcPr>
            <w:tcW w:type="dxa" w:w="2000"/>
            <w:tcMar>
              <w:top w:type="dxa" w:w="60"/>
              <w:left w:type="dxa" w:w="100"/>
              <w:bottom w:type="dxa" w:w="60"/>
              <w:right w:type="dxa" w:w="100"/>
            </w:tcMar>
          </w:tcPr>
          <w:p>
            <w:pPr>
              <w:spacing w:after="0" w:before="0"/>
            </w:pPr>
            <w:r>
              <w:rPr>
                <w:b/>
                <w:bCs/>
                <w:i w:val="false"/>
                <w:iCs w:val="false"/>
              </w:rPr>
              <w:t xml:space="preserve">2.3.1.1 d)</w:t>
            </w:r>
            <w:r>
              <w:rPr>
                <w:b w:val="false"/>
                <w:bCs w:val="false"/>
                <w:i w:val="false"/>
                <w:iCs w:val="false"/>
              </w:rPr>
              <w:t xml:space="preserve"> Checklists: daily operations, preventive maintenance, facility inspection, backup verification, environmental monitoring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Daily operational, preventive maintenance, backup verification and environmental monitoring checklists are delivered in week 24, with a facility inspection checklist provided alongside them. Each is approved under documentation control and supplied in editable format and PDF. [GAP: The facility inspection checklist is not listed in </w:t>
            </w: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Add it to the Operational and maintenance checklists row, or confirm it is delivered under the facility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000"/>
            <w:tcMar>
              <w:top w:type="dxa" w:w="60"/>
              <w:left w:type="dxa" w:w="100"/>
              <w:bottom w:type="dxa" w:w="60"/>
              <w:right w:type="dxa" w:w="100"/>
            </w:tcMar>
          </w:tcPr>
          <w:p>
            <w:pPr>
              <w:spacing w:after="0" w:before="0"/>
            </w:pPr>
            <w:r>
              <w:rPr>
                <w:b/>
                <w:bCs/>
                <w:i w:val="false"/>
                <w:iCs w:val="false"/>
              </w:rPr>
              <w:t xml:space="preserve">2.3.1.1 e)</w:t>
            </w:r>
            <w:r>
              <w:rPr>
                <w:b w:val="false"/>
                <w:bCs w:val="false"/>
                <w:i w:val="false"/>
                <w:iCs w:val="false"/>
              </w:rPr>
              <w:t xml:space="preserve"> Business continuity and DR procedures: recovery, restoration, failover, emergency contacts, downtime management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Recovery, backup restoration and failover procedures, emergency contacts and downtime management are delivered in week 19 and corrected after every test. Recovery procedures are written for manual as well as automated execution and are exercised in pre-commissioning, operational acceptance and annual disaster recovery tests.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2&quot;">
              <w:r>
                <w:rPr>
                  <w:rStyle w:val="Hyperlink"/>
                  <w:b w:val="false"/>
                  <w:bCs w:val="false"/>
                  <w:i w:val="false"/>
                  <w:iCs w:val="false"/>
                </w:rPr>
                <w:t xml:space="preserve">8.2</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00"/>
            <w:tcMar>
              <w:top w:type="dxa" w:w="60"/>
              <w:left w:type="dxa" w:w="100"/>
              <w:bottom w:type="dxa" w:w="60"/>
              <w:right w:type="dxa" w:w="100"/>
            </w:tcMar>
          </w:tcPr>
          <w:p>
            <w:pPr>
              <w:spacing w:after="0" w:before="0"/>
            </w:pPr>
            <w:r>
              <w:rPr>
                <w:b/>
                <w:bCs/>
                <w:i w:val="false"/>
                <w:iCs w:val="false"/>
              </w:rPr>
              <w:t xml:space="preserve">2.3.1.1 f)</w:t>
            </w:r>
            <w:r>
              <w:rPr>
                <w:b w:val="false"/>
                <w:bCs w:val="false"/>
                <w:i w:val="false"/>
                <w:iCs w:val="false"/>
              </w:rPr>
              <w:t xml:space="preserve"> Warranty certificates, support escalation matrix, SLA documents and OEM support contacts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Warranty certificates, the support escalation matrix, the service level documents and the equipment manufacturer's support contacts are delivered at Operational Acceptance in week 30, covering the three-year warranty and the service levels and performance indicators of the support model.</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6&quot;">
              <w:r>
                <w:rPr>
                  <w:rStyle w:val="Hyperlink"/>
                  <w:b w:val="false"/>
                  <w:bCs w:val="false"/>
                  <w:i w:val="false"/>
                  <w:iCs w:val="false"/>
                </w:rPr>
                <w:t xml:space="preserve">5.6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r>
        <w:tc>
          <w:tcPr>
            <w:tcW w:type="dxa" w:w="2000"/>
            <w:tcMar>
              <w:top w:type="dxa" w:w="60"/>
              <w:left w:type="dxa" w:w="100"/>
              <w:bottom w:type="dxa" w:w="60"/>
              <w:right w:type="dxa" w:w="100"/>
            </w:tcMar>
          </w:tcPr>
          <w:p>
            <w:pPr>
              <w:spacing w:after="0" w:before="0"/>
            </w:pPr>
            <w:r>
              <w:rPr>
                <w:b/>
                <w:bCs/>
                <w:i w:val="false"/>
                <w:iCs w:val="false"/>
              </w:rPr>
              <w:t xml:space="preserve">2.3.1.1 g)</w:t>
            </w:r>
            <w:r>
              <w:rPr>
                <w:b w:val="false"/>
                <w:bCs w:val="false"/>
                <w:i w:val="false"/>
                <w:iCs w:val="false"/>
              </w:rPr>
              <w:t xml:space="preserve"> Asset documentation: equipment inventory, serial number records, asset tagging schedule, software license inventory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equipment inventory register, serial number records, asset tagging schedule and software license inventory are delivered in week 30. The license inventory classifies every software title and maps each entitlement to the components it serves, consistent with the Licensing Bill of Materials.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4&quot;">
              <w:r>
                <w:rPr>
                  <w:rStyle w:val="Hyperlink"/>
                  <w:b w:val="false"/>
                  <w:bCs w:val="false"/>
                  <w:i w:val="false"/>
                  <w:iCs w:val="false"/>
                </w:rPr>
                <w:t xml:space="preserve">6.14</w:t>
              </w:r>
            </w:fldSimple>
          </w:p>
        </w:tc>
      </w:tr>
      <w:tr>
        <w:tc>
          <w:tcPr>
            <w:tcW w:type="dxa" w:w="2000"/>
            <w:tcMar>
              <w:top w:type="dxa" w:w="60"/>
              <w:left w:type="dxa" w:w="100"/>
              <w:bottom w:type="dxa" w:w="60"/>
              <w:right w:type="dxa" w:w="100"/>
            </w:tcMar>
          </w:tcPr>
          <w:p>
            <w:pPr>
              <w:spacing w:after="0" w:before="0"/>
            </w:pPr>
            <w:r>
              <w:rPr>
                <w:b/>
                <w:bCs/>
                <w:i w:val="false"/>
                <w:iCs w:val="false"/>
              </w:rPr>
              <w:t xml:space="preserve">2.3.1.2 a)</w:t>
            </w:r>
            <w:r>
              <w:rPr>
                <w:b w:val="false"/>
                <w:bCs w:val="false"/>
                <w:i w:val="false"/>
                <w:iCs w:val="false"/>
              </w:rPr>
              <w:t xml:space="preserve"> System design documents: architecture, design, network, data flow, layouts, racks, floor plans, power and cooling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High-Level Design gives the solution architecture, network architecture and data flow diagrams, and the Low-Level Design the detailed system design and rack elevations, approved in week 6. The ICT Site Preparation Guide sets the server room layout, power per position and heat load. Facility floor plans and the power and cooling design follow under the facility works. [GAP: Physical layout drawings, facility floor plans and the power and cooling design are not named as deliverables in </w:t>
            </w: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including its facility works paragraph. Add them there. The Purchaser's ground floor plan, provided by the Buildings Department as stated in the Responses to Queries 003, is the base.]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and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2000"/>
            <w:tcMar>
              <w:top w:type="dxa" w:w="60"/>
              <w:left w:type="dxa" w:w="100"/>
              <w:bottom w:type="dxa" w:w="60"/>
              <w:right w:type="dxa" w:w="100"/>
            </w:tcMar>
          </w:tcPr>
          <w:p>
            <w:pPr>
              <w:spacing w:after="0" w:before="0"/>
            </w:pPr>
            <w:r>
              <w:rPr>
                <w:b/>
                <w:bCs/>
                <w:i w:val="false"/>
                <w:iCs w:val="false"/>
              </w:rPr>
              <w:t xml:space="preserve">2.3.1.2 b)</w:t>
            </w:r>
            <w:r>
              <w:rPr>
                <w:b w:val="false"/>
                <w:bCs w:val="false"/>
                <w:i w:val="false"/>
                <w:iCs w:val="false"/>
              </w:rPr>
              <w:t xml:space="preserve"> Installation and configuration documents: guides, manuals, parameters, firmware, IP, VLAN, firewall, database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Hardware and software installation guides and configuration manuals are delivered with installation in weeks 15 to 23. Parameter configuration sheets, firmware versions, the IP addressing scheme and VLAN, firewall and database configuration are set out in the Low-Level Design, and all configuration is version-controlled centrally.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1&quot;">
              <w:r>
                <w:rPr>
                  <w:rStyle w:val="Hyperlink"/>
                  <w:b w:val="false"/>
                  <w:bCs w:val="false"/>
                  <w:i w:val="false"/>
                  <w:iCs w:val="false"/>
                </w:rPr>
                <w:t xml:space="preserve">12.1</w:t>
              </w:r>
            </w:fldSimple>
          </w:p>
        </w:tc>
      </w:tr>
      <w:tr>
        <w:tc>
          <w:tcPr>
            <w:tcW w:type="dxa" w:w="2000"/>
            <w:tcMar>
              <w:top w:type="dxa" w:w="60"/>
              <w:left w:type="dxa" w:w="100"/>
              <w:bottom w:type="dxa" w:w="60"/>
              <w:right w:type="dxa" w:w="100"/>
            </w:tcMar>
          </w:tcPr>
          <w:p>
            <w:pPr>
              <w:spacing w:after="0" w:before="0"/>
            </w:pPr>
            <w:r>
              <w:rPr>
                <w:b/>
                <w:bCs/>
                <w:i w:val="false"/>
                <w:iCs w:val="false"/>
              </w:rPr>
              <w:t xml:space="preserve">2.3.1.2 c)</w:t>
            </w:r>
            <w:r>
              <w:rPr>
                <w:b w:val="false"/>
                <w:bCs w:val="false"/>
                <w:i w:val="false"/>
                <w:iCs w:val="false"/>
              </w:rPr>
              <w:t xml:space="preserve"> As-built documentation: architecture, network topology, equipment placement, design deviations, configuration baselines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As-built architecture diagrams, the final network topology, final equipment placement, deviations from the approved design and final configuration baselines are delivered from week 27 and finalized in week 32, recording the system as deployed at handover rather than as designed.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7_17&quot;">
              <w:r>
                <w:rPr>
                  <w:rStyle w:val="Hyperlink"/>
                  <w:b w:val="false"/>
                  <w:bCs w:val="false"/>
                  <w:i w:val="false"/>
                  <w:iCs w:val="false"/>
                </w:rPr>
                <w:t xml:space="preserve">7.17</w:t>
              </w:r>
            </w:fldSimple>
          </w:p>
        </w:tc>
      </w:tr>
      <w:tr>
        <w:tc>
          <w:tcPr>
            <w:tcW w:type="dxa" w:w="2000"/>
            <w:tcMar>
              <w:top w:type="dxa" w:w="60"/>
              <w:left w:type="dxa" w:w="100"/>
              <w:bottom w:type="dxa" w:w="60"/>
              <w:right w:type="dxa" w:w="100"/>
            </w:tcMar>
          </w:tcPr>
          <w:p>
            <w:pPr>
              <w:spacing w:after="0" w:before="0"/>
            </w:pPr>
            <w:r>
              <w:rPr>
                <w:b/>
                <w:bCs/>
                <w:i w:val="false"/>
                <w:iCs w:val="false"/>
              </w:rPr>
              <w:t xml:space="preserve">2.3.1.2 d)</w:t>
            </w:r>
            <w:r>
              <w:rPr>
                <w:b w:val="false"/>
                <w:bCs w:val="false"/>
                <w:i w:val="false"/>
                <w:iCs w:val="false"/>
              </w:rPr>
              <w:t xml:space="preserve"> Integration documentation: API, ICDs, architecture, middleware, third-party procedures, data exchange, web services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API Specifications, Interface Control Documents, the Detailed Integration Architecture and data mapping documents are issued in week 5, the Interface Control Documents defining each data exchange and web service. As-built documentation covers API, web services and middleware configuration, and third-party procedures cover the courier or postal interface. [GAP: Third-party integration procedures are not named in </w:t>
            </w: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Add them to the Integration documentation row, covering the courier or postal operator and Government PKI interfaces.]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w:t>
            </w:r>
            <w:fldSimple w:instr="HYPERLINK &quot;Document-5-Technical-Proposal-System-Architecture.docx&quot; \l &quot;sec_7_17&quot;">
              <w:r>
                <w:rPr>
                  <w:rStyle w:val="Hyperlink"/>
                  <w:b w:val="false"/>
                  <w:bCs w:val="false"/>
                  <w:i w:val="false"/>
                  <w:iCs w:val="false"/>
                </w:rPr>
                <w:t xml:space="preserve">7.17</w:t>
              </w:r>
            </w:fldSimple>
            <w:r>
              <w:rPr>
                <w:b w:val="false"/>
                <w:bCs w:val="false"/>
                <w:i w:val="false"/>
                <w:iCs w:val="false"/>
              </w:rPr>
              <w:t xml:space="preserve"> and </w:t>
            </w:r>
            <w:fldSimple w:instr="HYPERLINK &quot;Document-5-Technical-Proposal-System-Architecture.docx&quot; \l &quot;sec_8_6&quot;">
              <w:r>
                <w:rPr>
                  <w:rStyle w:val="Hyperlink"/>
                  <w:b w:val="false"/>
                  <w:bCs w:val="false"/>
                  <w:i w:val="false"/>
                  <w:iCs w:val="false"/>
                </w:rPr>
                <w:t xml:space="preserve">8.6</w:t>
              </w:r>
            </w:fldSimple>
          </w:p>
        </w:tc>
      </w:tr>
      <w:tr>
        <w:tc>
          <w:tcPr>
            <w:tcW w:type="dxa" w:w="2000"/>
            <w:tcMar>
              <w:top w:type="dxa" w:w="60"/>
              <w:left w:type="dxa" w:w="100"/>
              <w:bottom w:type="dxa" w:w="60"/>
              <w:right w:type="dxa" w:w="100"/>
            </w:tcMar>
          </w:tcPr>
          <w:p>
            <w:pPr>
              <w:spacing w:after="0" w:before="0"/>
            </w:pPr>
            <w:r>
              <w:rPr>
                <w:b/>
                <w:bCs/>
                <w:i w:val="false"/>
                <w:iCs w:val="false"/>
              </w:rPr>
              <w:t xml:space="preserve">2.3.1.2 e)</w:t>
            </w:r>
            <w:r>
              <w:rPr>
                <w:b w:val="false"/>
                <w:bCs w:val="false"/>
                <w:i w:val="false"/>
                <w:iCs w:val="false"/>
              </w:rPr>
              <w:t xml:space="preserve"> Security documentation: architecture, access and roles matrices, key management, PKI, audit logging, hardening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security architecture, access control matrix, user roles and permissions matrix, encryption key management and PKI procedures, audit logging configuration and cybersecurity hardening guide are delivered in weeks 5 to 17, and as-built security documentation is handed over with the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Cybersecurity-Risk-Management-Plan.docx&quot; \l &quot;sec_9_1&quot;">
              <w:r>
                <w:rPr>
                  <w:rStyle w:val="Hyperlink"/>
                  <w:b w:val="false"/>
                  <w:bCs w:val="false"/>
                  <w:i w:val="false"/>
                  <w:iCs w:val="false"/>
                </w:rPr>
                <w:t xml:space="preserve">9.1</w:t>
              </w:r>
            </w:fldSimple>
          </w:p>
        </w:tc>
      </w:tr>
      <w:tr>
        <w:tc>
          <w:tcPr>
            <w:tcW w:type="dxa" w:w="2000"/>
            <w:tcMar>
              <w:top w:type="dxa" w:w="60"/>
              <w:left w:type="dxa" w:w="100"/>
              <w:bottom w:type="dxa" w:w="60"/>
              <w:right w:type="dxa" w:w="100"/>
            </w:tcMar>
          </w:tcPr>
          <w:p>
            <w:pPr>
              <w:spacing w:after="0" w:before="0"/>
            </w:pPr>
            <w:r>
              <w:rPr>
                <w:b/>
                <w:bCs/>
                <w:i w:val="false"/>
                <w:iCs w:val="false"/>
              </w:rPr>
              <w:t xml:space="preserve">2.3.1.2 f)</w:t>
            </w:r>
            <w:r>
              <w:rPr>
                <w:b w:val="false"/>
                <w:bCs w:val="false"/>
                <w:i w:val="false"/>
                <w:iCs w:val="false"/>
              </w:rPr>
              <w:t xml:space="preserve"> Database documentation: schema, data dictionary, backup and restore, replication, archiving, retention policies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database schema, data dictionary, backup and restore, replication and archiving procedures, and data retention policies are delivered in weeks 5 to 17. Retention is enforced by platform policy rather than operator action, and archived audit data remains queryable.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1_4&quot;">
              <w:r>
                <w:rPr>
                  <w:rStyle w:val="Hyperlink"/>
                  <w:b w:val="false"/>
                  <w:bCs w:val="false"/>
                  <w:i w:val="false"/>
                  <w:iCs w:val="false"/>
                </w:rPr>
                <w:t xml:space="preserve">11.4</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00"/>
            <w:tcMar>
              <w:top w:type="dxa" w:w="60"/>
              <w:left w:type="dxa" w:w="100"/>
              <w:bottom w:type="dxa" w:w="60"/>
              <w:right w:type="dxa" w:w="100"/>
            </w:tcMar>
          </w:tcPr>
          <w:p>
            <w:pPr>
              <w:spacing w:after="0" w:before="0"/>
            </w:pPr>
            <w:r>
              <w:rPr>
                <w:b/>
                <w:bCs/>
                <w:i w:val="false"/>
                <w:iCs w:val="false"/>
              </w:rPr>
              <w:t xml:space="preserve">2.3.1.2 g)</w:t>
            </w:r>
            <w:r>
              <w:rPr>
                <w:b w:val="false"/>
                <w:bCs w:val="false"/>
                <w:i w:val="false"/>
                <w:iCs w:val="false"/>
              </w:rPr>
              <w:t xml:space="preserve"> Testing documentation: FAT, SAT, UAT reports, scripts, performance, stress, security reports, defect logs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Factory, site and user acceptance test reports, test scripts and results, performance, stress and security test reports, and defect logs with their resolutions are issued as each test completes, in weeks 17 to 30. Every requirement is traced to a test, and each test level closes on an approved report.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000"/>
            <w:tcMar>
              <w:top w:type="dxa" w:w="60"/>
              <w:left w:type="dxa" w:w="100"/>
              <w:bottom w:type="dxa" w:w="60"/>
              <w:right w:type="dxa" w:w="100"/>
            </w:tcMar>
          </w:tcPr>
          <w:p>
            <w:pPr>
              <w:spacing w:after="0" w:before="0"/>
            </w:pPr>
            <w:r>
              <w:rPr>
                <w:b/>
                <w:bCs/>
                <w:i w:val="false"/>
                <w:iCs w:val="false"/>
              </w:rPr>
              <w:t xml:space="preserve">2.3.1.2 h)</w:t>
            </w:r>
            <w:r>
              <w:rPr>
                <w:b w:val="false"/>
                <w:bCs w:val="false"/>
                <w:i w:val="false"/>
                <w:iCs w:val="false"/>
              </w:rPr>
              <w:t xml:space="preserve"> Maintenance documentation: preventive maintenance, troubleshooting, diagnostics, spare parts, OEM manuals, recovery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Manufacturers' operation, technical, preventive maintenance and spare parts manuals are delivered with the equipment. Operation and maintenance manuals, with troubleshooting guides and diagnostic and system recovery procedures, follow in week 24 and are finalized in week 30. A Critical Spare Parts List is submitted for approval before commissioning.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2_2&quot;">
              <w:r>
                <w:rPr>
                  <w:rStyle w:val="Hyperlink"/>
                  <w:b w:val="false"/>
                  <w:bCs w:val="false"/>
                  <w:i w:val="false"/>
                  <w:iCs w:val="false"/>
                </w:rPr>
                <w:t xml:space="preserve">12.2</w:t>
              </w:r>
            </w:fldSimple>
            <w:r>
              <w:rPr>
                <w:b w:val="false"/>
                <w:bCs w:val="false"/>
                <w:i w:val="false"/>
                <w:iCs w:val="false"/>
              </w:rPr>
              <w:t xml:space="preserve"> and </w:t>
            </w:r>
            <w:fldSimple w:instr="HYPERLINK &quot;Document-5-Technical-Proposal-System-Architecture.docx&quot; \l &quot;sec_12_5&quot;">
              <w:r>
                <w:rPr>
                  <w:rStyle w:val="Hyperlink"/>
                  <w:b w:val="false"/>
                  <w:bCs w:val="false"/>
                  <w:i w:val="false"/>
                  <w:iCs w:val="false"/>
                </w:rPr>
                <w:t xml:space="preserve">12.5</w:t>
              </w:r>
            </w:fldSimple>
          </w:p>
        </w:tc>
      </w:tr>
      <w:tr>
        <w:tc>
          <w:tcPr>
            <w:tcW w:type="dxa" w:w="2000"/>
            <w:tcMar>
              <w:top w:type="dxa" w:w="60"/>
              <w:left w:type="dxa" w:w="100"/>
              <w:bottom w:type="dxa" w:w="60"/>
              <w:right w:type="dxa" w:w="100"/>
            </w:tcMar>
          </w:tcPr>
          <w:p>
            <w:pPr>
              <w:spacing w:after="0" w:before="0"/>
            </w:pPr>
            <w:r>
              <w:rPr>
                <w:b/>
                <w:bCs/>
                <w:i w:val="false"/>
                <w:iCs w:val="false"/>
              </w:rPr>
              <w:t xml:space="preserve">2.3.1.2 i)</w:t>
            </w:r>
            <w:r>
              <w:rPr>
                <w:b w:val="false"/>
                <w:bCs w:val="false"/>
                <w:i w:val="false"/>
                <w:iCs w:val="false"/>
              </w:rPr>
              <w:t xml:space="preserve"> Facility documentation: electrical, UPS, generator, HVAC, fire, access control, CCTV, cabling, raised floor, monitoring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Electrical drawings, UPS configuration, generator integration, HVAC, fire suppression, access control, CCTV, structured cabling, raised floor and environmental monitoring documentation are delivered under the facility works of the turnkey contract. Environmental, power and UPS sensors installed under those works feed the System's monitoring and alerting. [GAP: </w:t>
            </w: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places facility documentation under the facility works and omits environmental monitoring setup. No proposal document commits to the ten items. The facility works documentation list, prepared with the rehabilitation subcontractor, must name all ten.]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p>
        </w:tc>
      </w:tr>
      <w:tr>
        <w:tc>
          <w:tcPr>
            <w:tcW w:type="dxa" w:w="2000"/>
            <w:tcMar>
              <w:top w:type="dxa" w:w="60"/>
              <w:left w:type="dxa" w:w="100"/>
              <w:bottom w:type="dxa" w:w="60"/>
              <w:right w:type="dxa" w:w="100"/>
            </w:tcMar>
          </w:tcPr>
          <w:p>
            <w:pPr>
              <w:spacing w:after="0" w:before="0"/>
            </w:pPr>
            <w:r>
              <w:rPr>
                <w:b/>
                <w:bCs/>
                <w:i w:val="false"/>
                <w:iCs w:val="false"/>
              </w:rPr>
              <w:t xml:space="preserve">2.3.1.2 j)</w:t>
            </w:r>
            <w:r>
              <w:rPr>
                <w:b w:val="false"/>
                <w:bCs w:val="false"/>
                <w:i w:val="false"/>
                <w:iCs w:val="false"/>
              </w:rPr>
              <w:t xml:space="preserve"> Compliance documentation: OEM certifications, compliance certificates, ISO documents, security reports, regulatory approvals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Manufacturer certifications, compliance certificates, ISO compliance documentation and security compliance reports are delivered in week 30, with copies of the structural and electrical design approvals that NRB coordinates with the Buildings Department. Inkript's ISO/IEC 27001 certificate, the card manufacturer's ISO certificates and the hardware security modules' FIPS 140 certificates are attached. [GAP: Regulatory approvals are not listed in </w:t>
            </w: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Add them to the Compliance and certification documentation row.]</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1_3&quot;">
              <w:r>
                <w:rPr>
                  <w:rStyle w:val="Hyperlink"/>
                  <w:b w:val="false"/>
                  <w:bCs w:val="false"/>
                  <w:i w:val="false"/>
                  <w:iCs w:val="false"/>
                </w:rPr>
                <w:t xml:space="preserve">11.3</w:t>
              </w:r>
            </w:fldSimple>
            <w:r>
              <w:rPr>
                <w:b w:val="false"/>
                <w:bCs w:val="false"/>
                <w:i w:val="false"/>
                <w:iCs w:val="false"/>
              </w:rPr>
              <w:t xml:space="preserve">; Attachment: ISO/IEC 27001 certificate; Attachment: Card manufacturer ISO 9001, ISO 27001 and ISO 14001 certificates</w:t>
            </w:r>
          </w:p>
        </w:tc>
      </w:tr>
    </w:tbl>
    <w:p>
      <w:pPr>
        <w:spacing w:after="140"/>
      </w:pPr>
    </w:p>
    <w:p>
      <w:pPr>
        <w:pStyle w:val="Heading2"/>
        <w:numPr>
          <w:ilvl w:val="1"/>
          <w:numId w:val="2"/>
        </w:numPr>
        <w:spacing w:after="140" w:before="260"/>
      </w:pPr>
      <w:r>
        <w:t xml:space="preserve">R</w:t>
      </w:r>
      <w:bookmarkStart w:name="sec_2_4" w:id="1"/>
      <w:r>
        <w:rPr>
          <w:b w:val="false"/>
          <w:bCs w:val="false"/>
          <w:i w:val="false"/>
          <w:iCs w:val="false"/>
        </w:rPr>
        <w:t xml:space="preserve">equirements of the Supplier's technical team</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50"/>
        <w:gridCol w:w="4470"/>
        <w:gridCol w:w="2000"/>
      </w:tblGrid>
      <w:tr>
        <w:trPr>
          <w:tblHeader/>
        </w:trPr>
        <w:tc>
          <w:tcPr>
            <w:tcW w:type="dxa" w:w="25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47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550"/>
            <w:tcMar>
              <w:top w:type="dxa" w:w="60"/>
              <w:left w:type="dxa" w:w="100"/>
              <w:bottom w:type="dxa" w:w="60"/>
              <w:right w:type="dxa" w:w="100"/>
            </w:tcMar>
          </w:tcPr>
          <w:p>
            <w:pPr>
              <w:spacing w:after="0" w:before="0"/>
            </w:pPr>
            <w:r>
              <w:rPr>
                <w:b/>
                <w:bCs/>
                <w:i w:val="false"/>
                <w:iCs w:val="false"/>
              </w:rPr>
              <w:t xml:space="preserve">2.4.1.1</w:t>
            </w:r>
            <w:r>
              <w:rPr>
                <w:b w:val="false"/>
                <w:bCs w:val="false"/>
                <w:i w:val="false"/>
                <w:iCs w:val="false"/>
              </w:rPr>
              <w:t xml:space="preserve"> Project Team Leader: relevant degree, 10 years, two national-scale identity or card personalization projects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Inkript assigns a Project Team Leader with a degree in a listed field and at least 10 years on large-scale ICT projects in national ID, secure documents or mission-critical infrastructure, including at least two national-scale identity or card personalization projects delivered through multi-vendor, standards-based integration. The CV and certificates are attached. [GAP: No cited document names the Project Team Leader or states the qualifications. The CV, the Candidate Summary form and the Project Organization and Management Sub-Plan must evidence them. A Master's degree and PMP, PRINCE2 Practitioner or PMI-ACP certification add value.]</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2.4.1.2</w:t>
            </w:r>
            <w:r>
              <w:rPr>
                <w:b w:val="false"/>
                <w:bCs w:val="false"/>
                <w:i w:val="false"/>
                <w:iCs w:val="false"/>
              </w:rPr>
              <w:t xml:space="preserve"> Architect/Structural Engineer: degree, five years in card facilities or data centers, rehabilitation design lead</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Architect/Structural Engineer, fielded by the CIRA-registered rehabilitation subcontractor as Addendum No. 2 provides, holds an architecture or structural engineering degree, relevant certifications and at least five years designing card printing facilities, data centers or IT works. The engineer assesses the existing facility, leads the room rehabilitation and draws the turnkey implementation plan to international standards. [GAP: No proposal document names this role, and the rehabilitation subcontractor's CVs are not yet in hand. Confirm the nominee with the subcontractor and evidence through the CV and certificates. The facility works plan should state the assessment, rehabilitation and implementation plan duties, including compatibility with international standards.]</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Key Personnel CVs and certificates; Attachment: CIRA registration certificate</w:t>
            </w:r>
          </w:p>
        </w:tc>
      </w:tr>
      <w:tr>
        <w:tc>
          <w:tcPr>
            <w:tcW w:type="dxa" w:w="2550"/>
            <w:tcMar>
              <w:top w:type="dxa" w:w="60"/>
              <w:left w:type="dxa" w:w="100"/>
              <w:bottom w:type="dxa" w:w="60"/>
              <w:right w:type="dxa" w:w="100"/>
            </w:tcMar>
          </w:tcPr>
          <w:p>
            <w:pPr>
              <w:spacing w:after="0" w:before="0"/>
            </w:pPr>
            <w:r>
              <w:rPr>
                <w:b/>
                <w:bCs/>
                <w:i w:val="false"/>
                <w:iCs w:val="false"/>
              </w:rPr>
              <w:t xml:space="preserve">2.4.1.3</w:t>
            </w:r>
            <w:r>
              <w:rPr>
                <w:b w:val="false"/>
                <w:bCs w:val="false"/>
                <w:i w:val="false"/>
                <w:iCs w:val="false"/>
              </w:rPr>
              <w:t xml:space="preserve"> Solution Architect: Bachelor's, five years architecture and integration, TOGAF and solutions architecture certifications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Solution Architect leads security architecture and design, assesses the impact of technical changes and sits on the change board as Supplier technical lead. The nominee holds a Bachelor's degree in a listed field, at least five years in solution architecture, systems integration, interoperability and technical assurance, and TOGAF and solutions architecture certification. [CONFIRM: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states only that the role meets the clause 2.4 qualifications. No document states the degree, years or certifications. Confirm against the nominee's CV, including OEM solution certifications where possible.]</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Change Management Plan Sections </w:t>
            </w:r>
            <w:fldSimple w:instr="HYPERLINK &quot;Change-Management-Plan.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Change-Management-Plan.docx&quot; \l &quot;sec_6_1&quot;">
              <w:r>
                <w:rPr>
                  <w:rStyle w:val="Hyperlink"/>
                  <w:b w:val="false"/>
                  <w:bCs w:val="false"/>
                  <w:i w:val="false"/>
                  <w:iCs w:val="false"/>
                </w:rPr>
                <w:t xml:space="preserve">6.1</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2.4.1.4</w:t>
            </w:r>
            <w:r>
              <w:rPr>
                <w:b w:val="false"/>
                <w:bCs w:val="false"/>
                <w:i w:val="false"/>
                <w:iCs w:val="false"/>
              </w:rPr>
              <w:t xml:space="preserve"> Secure Personalization System Engineer: Bachelor's, five years polycarbonate personalization, OEM-certified on proposed system</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Secure Personalization System Engineer holds a Bachelor's degree in computer, electronics or mechatronics engineering, at least five years on large-scale polycarbonate card personalization, laser engraving and security feature implementation, and the manufacturer's certification on the personalization system supplied, and secures the equipment control systems with the manufacturer. [CONFIRM: The OEM certificate for the named engineer must be obtained from the equipment manufacturer.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does not state security feature implementation, and the clause still names chip encoding although the Response to Clarifications 001 confirms chipless cards. Confirm the CV shows both.]</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OEM certification for the Secure Personalization System Engineer;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2.4.1.5</w:t>
            </w:r>
            <w:r>
              <w:rPr>
                <w:b w:val="false"/>
                <w:bCs w:val="false"/>
                <w:i w:val="false"/>
                <w:iCs w:val="false"/>
              </w:rPr>
              <w:t xml:space="preserve"> Card Mailing System Engineer: Bachelor's, five years ID card mailing integrated with personalization and ID systems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Card Mailing System Engineer holds a Bachelor's degree in IT, computer, electronics or mechatronics engineering and at least five years on ID card mailing and dispatch systems, delivers mailing operations training, and handles equipment and procedure changes on the mailing lines with the manufacturer. [CONFIRM: Confirm the CV shows mailing systems integrated with personalization and national ID systems, and high-volume print, mailing and dispatch experience, which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does not state.]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Change Management Plan Section </w:t>
            </w:r>
            <w:fldSimple w:instr="HYPERLINK &quot;Change-Management-Plan.docx&quot; \l &quot;sec_6_1&quot;">
              <w:r>
                <w:rPr>
                  <w:rStyle w:val="Hyperlink"/>
                  <w:b w:val="false"/>
                  <w:bCs w:val="false"/>
                  <w:i w:val="false"/>
                  <w:iCs w:val="false"/>
                </w:rPr>
                <w:t xml:space="preserve">6.1</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2.4.1.6</w:t>
            </w:r>
            <w:r>
              <w:rPr>
                <w:b w:val="false"/>
                <w:bCs w:val="false"/>
                <w:i w:val="false"/>
                <w:iCs w:val="false"/>
              </w:rPr>
              <w:t xml:space="preserve"> Cybersecurity and PKI Specialist: relevant degree, seven years cybersecurity, three in identity or PKI</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Cybersecurity and PKI Specialist holds a degree in cybersecurity, computer science or information security, at least seven years in cybersecurity including three in identity management or PKI, CISSP, CISM and CEH, and experience with hardware security modules, encryption and certificates, and leads governance, key management and incident response. [CONFIRM: Attach the CV and the CISSP, CISM and CEH certificates as </w:t>
            </w:r>
            <w:r>
              <w:rPr>
                <w:b w:val="false"/>
                <w:bCs w:val="false"/>
                <w:i w:val="false"/>
                <w:iCs w:val="false"/>
              </w:rPr>
              <w:t xml:space="preserve">Cybersecurity Risk Management Plan Section </w:t>
            </w:r>
            <w:fldSimple w:instr="HYPERLINK &quot;Cybersecurity-Risk-Management-Plan.docx&quot; \l &quot;sec_11_3&quot;">
              <w:r>
                <w:rPr>
                  <w:rStyle w:val="Hyperlink"/>
                  <w:b w:val="false"/>
                  <w:bCs w:val="false"/>
                  <w:i w:val="false"/>
                  <w:iCs w:val="false"/>
                </w:rPr>
                <w:t xml:space="preserve">11.3</w:t>
              </w:r>
            </w:fldSimple>
            <w:r>
              <w:rPr>
                <w:b w:val="false"/>
                <w:bCs w:val="false"/>
                <w:i w:val="false"/>
                <w:iCs w:val="false"/>
              </w:rPr>
              <w:t xml:space="preserve"> states, and confirm experience with access control systems, which the clause lists.]</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Cybersecurity-Risk-Management-Plan.docx&quot; \l &quot;sec_11_3&quot;">
              <w:r>
                <w:rPr>
                  <w:rStyle w:val="Hyperlink"/>
                  <w:b w:val="false"/>
                  <w:bCs w:val="false"/>
                  <w:i w:val="false"/>
                  <w:iCs w:val="false"/>
                </w:rPr>
                <w:t xml:space="preserve">11.3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2.4.1.7</w:t>
            </w:r>
            <w:r>
              <w:rPr>
                <w:b w:val="false"/>
                <w:bCs w:val="false"/>
                <w:i w:val="false"/>
                <w:iCs w:val="false"/>
              </w:rPr>
              <w:t xml:space="preserve"> ID Card Security Specialist: degree or diploma, ACE-M and PKI certifications, five years multilayer polycarbonate security</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ID Card Security Specialist holds a degree or diploma in computer science or information security, ACE-M and PKI certifications, and at least five years implementing multilayer polycarbonate card security, and delivers quality assurance and security feature inspection training and post-acceptance technical assistance. [CONFIRM: Confirm the CV covers encryption systems, covert and forensic security, and tactile and laser-Braille elements, which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does not state.]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2.4.1.8</w:t>
            </w:r>
            <w:r>
              <w:rPr>
                <w:b w:val="false"/>
                <w:bCs w:val="false"/>
                <w:i w:val="false"/>
                <w:iCs w:val="false"/>
              </w:rPr>
              <w:t xml:space="preserve"> Software Integration Specialist: relevant degree, API, middleware and web services certifications, five years integration</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Software Integration Specialist holds a degree in computer science, software engineering or information systems, certifications in APIs, middleware and web services, and at least five years in enterprise systems integration, and is responsible for the NRIS interface, secure development, interface security and software releases. [CONFIRM: Confirm the CV includes government system integration certification or experience, which the clause lists and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omits.]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Change Management Plan Section </w:t>
            </w:r>
            <w:fldSimple w:instr="HYPERLINK &quot;Change-Management-Plan.docx&quot; \l &quot;sec_6_1&quot;">
              <w:r>
                <w:rPr>
                  <w:rStyle w:val="Hyperlink"/>
                  <w:b w:val="false"/>
                  <w:bCs w:val="false"/>
                  <w:i w:val="false"/>
                  <w:iCs w:val="false"/>
                </w:rPr>
                <w:t xml:space="preserve">6.1</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2.4.1.9</w:t>
            </w:r>
            <w:r>
              <w:rPr>
                <w:b w:val="false"/>
                <w:bCs w:val="false"/>
                <w:i w:val="false"/>
                <w:iCs w:val="false"/>
              </w:rPr>
              <w:t xml:space="preserve"> Network Engineer: degree or diploma, CCNA and CCNP, five years VLANs, firewalls, secure government networks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Network Engineer holds a degree or diploma in computer science, network engineering or telecommunications, CCNA and CCNP, and at least five years on VLANs, firewalls and secure government networks, and leads network zones, firewalls and intrusion prevention through design and installation. [CONFIRM: Confirm the CV shows network redundancy experience, which the clause lists. Fortinet or Palo Alto certification adds value.]</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2.4.1.10</w:t>
            </w:r>
            <w:r>
              <w:rPr>
                <w:b w:val="false"/>
                <w:bCs w:val="false"/>
                <w:i w:val="false"/>
                <w:iCs w:val="false"/>
              </w:rPr>
              <w:t xml:space="preserve"> Facilities/Electrical Engineer: relevant degree, seven years critical infrastructure, UPS, HVAC, generators, fire suppression</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Facilities and Electrical Engineer holds a degree in electrical, mechanical or building services engineering, at least seven years in critical infrastructure or industrial setup, and experience with UPS, HVAC, generators, fire suppression and secure facilities, covering the facility power, environmental and fire systems and post-acceptance technical assistance. [GAP: The role is named only in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for post-acceptance assistance. No cited document states its qualifications or its assignment during supply and installation. Evidence through the CV and the facility works staffing, and confirm whether the rehabilitation subcontractor fields the role.]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2.4.1.11</w:t>
            </w:r>
            <w:r>
              <w:rPr>
                <w:b w:val="false"/>
                <w:bCs w:val="false"/>
                <w:i w:val="false"/>
                <w:iCs w:val="false"/>
              </w:rPr>
              <w:t xml:space="preserve"> Training and Change Management Specialist: relevant degree, trainer and change certifications, five years government training</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Training and Change Management Specialist holds a degree in ICT, education or human resource development, trainer and change management certifications, Prosci preferred, and at least five years delivering ICT training to government staff, operators and administrators, and leads the training program and change management from week 1 to week 32. [CONFIRM: Confirm the trainer and change management certificates, Prosci where held, are attached with the Key Personnel forms.]</w:t>
            </w:r>
          </w:p>
        </w:tc>
        <w:tc>
          <w:tcPr>
            <w:tcW w:type="dxa" w:w="2000"/>
            <w:tcMar>
              <w:top w:type="dxa" w:w="60"/>
              <w:left w:type="dxa" w:w="100"/>
              <w:bottom w:type="dxa" w:w="60"/>
              <w:right w:type="dxa" w:w="100"/>
            </w:tcMar>
          </w:tcPr>
          <w:p>
            <w:pPr>
              <w:spacing w:after="0" w:before="0"/>
            </w:pPr>
            <w:r>
              <w:rPr>
                <w:b w:val="false"/>
                <w:bCs w:val="false"/>
                <w:i w:val="false"/>
                <w:iCs w:val="false"/>
              </w:rPr>
              <w:t xml:space="preserve">Change Management Plan Section </w:t>
            </w:r>
            <w:fldSimple w:instr="HYPERLINK &quot;Change-Management-Plan.docx&quot; \l &quot;sec_6_1&quot;">
              <w:r>
                <w:rPr>
                  <w:rStyle w:val="Hyperlink"/>
                  <w:b w:val="false"/>
                  <w:bCs w:val="false"/>
                  <w:i w:val="false"/>
                  <w:iCs w:val="false"/>
                </w:rPr>
                <w:t xml:space="preserve">6.1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2.4.1.12</w:t>
            </w:r>
            <w:r>
              <w:rPr>
                <w:b w:val="false"/>
                <w:bCs w:val="false"/>
                <w:i w:val="false"/>
                <w:iCs w:val="false"/>
              </w:rPr>
              <w:t xml:space="preserve"> HSE Officer: OHS or environmental diploma or degree, three years project safety, NEBOSH or OSHA</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Inkript assigns a Health, Safety and Environment Officer holding a diploma or degree in occupational health and safety or environmental management, with at least three years in infrastructure or industrial project safety management and NEBOSH or OSHA certification, for the supply and installation period. [GAP: No cited document names the HSE Officer. Evidence through the CV and the Occupational Health and Safety Plan, and confirm whether the rehabilitation subcontractor fields the role.]</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2.4.1.13</w:t>
            </w:r>
            <w:r>
              <w:rPr>
                <w:b w:val="false"/>
                <w:bCs w:val="false"/>
                <w:i w:val="false"/>
                <w:iCs w:val="false"/>
              </w:rPr>
              <w:t xml:space="preserve"> QA and Testing Specialist: relevant degree, five years enterprise ICT testing, ISTQB, FAT, SAT and UAT experience</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Quality Assurance and Testing Specialist holds a degree in computer science, engineering or quality management, at least five years in enterprise ICT testing and ISTQB certification, with FAT, SAT, UAT, performance and security testing experience, and leads the security test program and requirement-to-test traceability. [CONFIRM: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names the role and states only that it meets the clause 2.4 qualifications. Confirm the degree, years, ISTQB and test experience against the CV. ISO 9001 Lead Auditor certification adds value.]</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2.4.1.14</w:t>
            </w:r>
            <w:r>
              <w:rPr>
                <w:b w:val="false"/>
                <w:bCs w:val="false"/>
                <w:i w:val="false"/>
                <w:iCs w:val="false"/>
              </w:rPr>
              <w:t xml:space="preserve"> CPF Infrastructure Engineer: relevant degree, five years data center and HA systems, CCNA or CCNP, OEM certifications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Card Production Facility Infrastructure Engineer holds a degree in computer engineering, IT or electrical engineering, Cisco CCNA or CCNP and relevant manufacturer certifications, and at least five years in data center and high availability systems, and is responsible for the hardened platform, clusters, storage, secondary environment, backup and recovery. [CONFIRM: Confirm the CV shows hardware and software integration experience, and design and support of the personalization, mailing and NRIS-integrated ICT environment, which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does not state.]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bl>
    <w:p>
      <w:pPr>
        <w:pStyle w:val="Heading1"/>
        <w:pageBreakBefore/>
        <w:numPr>
          <w:ilvl w:val="0"/>
          <w:numId w:val="2"/>
        </w:numPr>
        <w:spacing w:after="140" w:before="240"/>
      </w:pPr>
      <w:r>
        <w:t xml:space="preserve">T</w:t>
      </w:r>
      <w:bookmarkStart w:name="sec_3" w:id="1"/>
      <w:r>
        <w:rPr>
          <w:b w:val="false"/>
          <w:bCs w:val="false"/>
          <w:i w:val="false"/>
          <w:iCs w:val="false"/>
        </w:rPr>
        <w:t xml:space="preserve">echnology Specifications, Supply and Install Items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5570"/>
        <w:gridCol w:w="200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57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450"/>
            <w:tcMar>
              <w:top w:type="dxa" w:w="60"/>
              <w:left w:type="dxa" w:w="100"/>
              <w:bottom w:type="dxa" w:w="60"/>
              <w:right w:type="dxa" w:w="100"/>
            </w:tcMar>
          </w:tcPr>
          <w:p>
            <w:pPr>
              <w:spacing w:after="0" w:before="0"/>
            </w:pPr>
            <w:r>
              <w:rPr>
                <w:b/>
                <w:bCs/>
                <w:i w:val="false"/>
                <w:iCs w:val="false"/>
              </w:rPr>
              <w:t xml:space="preserve">3.0.1</w:t>
            </w:r>
            <w:r>
              <w:rPr>
                <w:b w:val="false"/>
                <w:bCs w:val="false"/>
                <w:i w:val="false"/>
                <w:iCs w:val="false"/>
              </w:rPr>
              <w:t xml:space="preserve"> All solution components support the English language.</w:t>
            </w:r>
          </w:p>
        </w:tc>
        <w:tc>
          <w:tcPr>
            <w:tcW w:type="dxa" w:w="5570"/>
            <w:tcMar>
              <w:top w:type="dxa" w:w="60"/>
              <w:left w:type="dxa" w:w="100"/>
              <w:bottom w:type="dxa" w:w="60"/>
              <w:right w:type="dxa" w:w="100"/>
            </w:tcMar>
          </w:tcPr>
          <w:p>
            <w:pPr>
              <w:spacing w:after="0" w:before="0"/>
            </w:pPr>
            <w:r>
              <w:rPr>
                <w:b w:val="false"/>
                <w:bCs w:val="false"/>
                <w:i w:val="false"/>
                <w:iCs w:val="false"/>
              </w:rPr>
              <w:t xml:space="preserve">Complies. All delivered components support English. The application interfaces are delivered in English from language resource files, with data held and displayed in Unicode, and the general technical requirements applied to all active equipment specify English as the operating language.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and </w:t>
            </w:r>
            <w:fldSimple w:instr="HYPERLINK &quot;Document-5-Technical-Proposal-System-Architecture.docx&quot; \l &quot;sec_9_4&quot;">
              <w:r>
                <w:rPr>
                  <w:rStyle w:val="Hyperlink"/>
                  <w:b w:val="false"/>
                  <w:bCs w:val="false"/>
                  <w:i w:val="false"/>
                  <w:iCs w:val="false"/>
                </w:rPr>
                <w:t xml:space="preserve">9.4</w:t>
              </w:r>
            </w:fldSimple>
          </w:p>
        </w:tc>
      </w:tr>
      <w:tr>
        <w:tc>
          <w:tcPr>
            <w:tcW w:type="dxa" w:w="1450"/>
            <w:tcMar>
              <w:top w:type="dxa" w:w="60"/>
              <w:left w:type="dxa" w:w="100"/>
              <w:bottom w:type="dxa" w:w="60"/>
              <w:right w:type="dxa" w:w="100"/>
            </w:tcMar>
          </w:tcPr>
          <w:p>
            <w:pPr>
              <w:spacing w:after="0" w:before="0"/>
            </w:pPr>
            <w:r>
              <w:rPr>
                <w:b/>
                <w:bCs/>
                <w:i w:val="false"/>
                <w:iCs w:val="false"/>
              </w:rPr>
              <w:t xml:space="preserve">3.0.2</w:t>
            </w:r>
            <w:r>
              <w:rPr>
                <w:b w:val="false"/>
                <w:bCs w:val="false"/>
                <w:i w:val="false"/>
                <w:iCs w:val="false"/>
              </w:rPr>
              <w:t xml:space="preserve"> Active equipment operates at 220V plus or minus 20V, 50Hz plus or minus 2Hz, with British Standard plugs.</w:t>
            </w:r>
          </w:p>
        </w:tc>
        <w:tc>
          <w:tcPr>
            <w:tcW w:type="dxa" w:w="5570"/>
            <w:tcMar>
              <w:top w:type="dxa" w:w="60"/>
              <w:left w:type="dxa" w:w="100"/>
              <w:bottom w:type="dxa" w:w="60"/>
              <w:right w:type="dxa" w:w="100"/>
            </w:tcMar>
          </w:tcPr>
          <w:p>
            <w:pPr>
              <w:spacing w:after="0" w:before="0"/>
            </w:pPr>
            <w:r>
              <w:rPr>
                <w:b w:val="false"/>
                <w:bCs w:val="false"/>
                <w:i w:val="false"/>
                <w:iCs w:val="false"/>
              </w:rPr>
              <w:t xml:space="preserve">Complies. All active equipment operates on 220V plus or minus 20V at 50Hz plus or minus 2Hz and is supplied with British Standard power plugs. The laser personalization systems accept 100 to 240 VAC at 50/60 Hz, which covers the specified range. [CONFIRM: The MS1000 mailing system datasheet states no electrical input range, and no datasheet confirms British Standard plugs. Obtain manufacturer confirmation for the mailing systems and the ICT equipment.]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Attachment: Laser personalization system datasheet</w:t>
            </w:r>
          </w:p>
        </w:tc>
      </w:tr>
      <w:tr>
        <w:tc>
          <w:tcPr>
            <w:tcW w:type="dxa" w:w="1450"/>
            <w:tcMar>
              <w:top w:type="dxa" w:w="60"/>
              <w:left w:type="dxa" w:w="100"/>
              <w:bottom w:type="dxa" w:w="60"/>
              <w:right w:type="dxa" w:w="100"/>
            </w:tcMar>
          </w:tcPr>
          <w:p>
            <w:pPr>
              <w:spacing w:after="0" w:before="0"/>
            </w:pPr>
            <w:r>
              <w:rPr>
                <w:b/>
                <w:bCs/>
                <w:i w:val="false"/>
                <w:iCs w:val="false"/>
              </w:rPr>
              <w:t xml:space="preserve">3.0.3</w:t>
            </w:r>
            <w:r>
              <w:rPr>
                <w:b w:val="false"/>
                <w:bCs w:val="false"/>
                <w:i w:val="false"/>
                <w:iCs w:val="false"/>
              </w:rPr>
              <w:t xml:space="preserve"> Equipment operates at 18 to 27 degrees Celsius, 40 to 60 percent humidity and 0 to 40 g/m3 dust.</w:t>
            </w:r>
          </w:p>
        </w:tc>
        <w:tc>
          <w:tcPr>
            <w:tcW w:type="dxa" w:w="5570"/>
            <w:tcMar>
              <w:top w:type="dxa" w:w="60"/>
              <w:left w:type="dxa" w:w="100"/>
              <w:bottom w:type="dxa" w:w="60"/>
              <w:right w:type="dxa" w:w="100"/>
            </w:tcMar>
          </w:tcPr>
          <w:p>
            <w:pPr>
              <w:spacing w:after="0" w:before="0"/>
            </w:pPr>
            <w:r>
              <w:rPr>
                <w:b w:val="false"/>
                <w:bCs w:val="false"/>
                <w:i w:val="false"/>
                <w:iCs w:val="false"/>
              </w:rPr>
              <w:t xml:space="preserve">Complies. All equipment is specified for 18 to 27 degrees Celsius, 40 to 60 percent relative humidity and 0 to 40 grams per cubic meter of dust. The laser systems are rated for 15 to 40 degrees Celsius and 20 to 65 percent humidity, and the facility HVAC and air filtration hold the rooms within range. [CONFIRM: No datasheet states a dust tolerance, and the MS1000 mailing system datasheet gives no operating environment. Obtain manufacturer confirmation.]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and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Attachment: Laser personalization system datasheet</w:t>
            </w:r>
          </w:p>
        </w:tc>
      </w:tr>
      <w:tr>
        <w:tc>
          <w:tcPr>
            <w:tcW w:type="dxa" w:w="1450"/>
            <w:tcMar>
              <w:top w:type="dxa" w:w="60"/>
              <w:left w:type="dxa" w:w="100"/>
              <w:bottom w:type="dxa" w:w="60"/>
              <w:right w:type="dxa" w:w="100"/>
            </w:tcMar>
          </w:tcPr>
          <w:p>
            <w:pPr>
              <w:spacing w:after="0" w:before="0"/>
            </w:pPr>
            <w:r>
              <w:rPr>
                <w:b/>
                <w:bCs/>
                <w:i w:val="false"/>
                <w:iCs w:val="false"/>
              </w:rPr>
              <w:t xml:space="preserve">3.0.4.1</w:t>
            </w:r>
            <w:r>
              <w:rPr>
                <w:b w:val="false"/>
                <w:bCs w:val="false"/>
                <w:i w:val="false"/>
                <w:iCs w:val="false"/>
              </w:rPr>
              <w:t xml:space="preserve"> Equipment operates at noise levels no greater than 80 decibels.</w:t>
            </w:r>
          </w:p>
        </w:tc>
        <w:tc>
          <w:tcPr>
            <w:tcW w:type="dxa" w:w="5570"/>
            <w:tcMar>
              <w:top w:type="dxa" w:w="60"/>
              <w:left w:type="dxa" w:w="100"/>
              <w:bottom w:type="dxa" w:w="60"/>
              <w:right w:type="dxa" w:w="100"/>
            </w:tcMar>
          </w:tcPr>
          <w:p>
            <w:pPr>
              <w:spacing w:after="0" w:before="0"/>
            </w:pPr>
            <w:r>
              <w:rPr>
                <w:b w:val="false"/>
                <w:bCs w:val="false"/>
                <w:i w:val="false"/>
                <w:iCs w:val="false"/>
              </w:rPr>
              <w:t xml:space="preserve">Complies. All equipment is specified to operate at a noise level not greater than 80 decibels. Noise level is checked during factory acceptance testing, together with the emergency stops and the electrical and environmental conformity documents. [CONFIRM: No datasheet states a noise level. Obtain the manufacturers' declared noise levels for the personalization and mailing systems.]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1450"/>
            <w:tcMar>
              <w:top w:type="dxa" w:w="60"/>
              <w:left w:type="dxa" w:w="100"/>
              <w:bottom w:type="dxa" w:w="60"/>
              <w:right w:type="dxa" w:w="100"/>
            </w:tcMar>
          </w:tcPr>
          <w:p>
            <w:pPr>
              <w:spacing w:after="0" w:before="0"/>
            </w:pPr>
            <w:r>
              <w:rPr>
                <w:b/>
                <w:bCs/>
                <w:i w:val="false"/>
                <w:iCs w:val="false"/>
              </w:rPr>
              <w:t xml:space="preserve">3.0.4.2</w:t>
            </w:r>
            <w:r>
              <w:rPr>
                <w:b w:val="false"/>
                <w:bCs w:val="false"/>
                <w:i w:val="false"/>
                <w:iCs w:val="false"/>
              </w:rPr>
              <w:t xml:space="preserve"> Emitting electronic equipment certified to US FCC Class B, or EN 55022 and EN 50082-1, or equivalent.</w:t>
            </w:r>
          </w:p>
        </w:tc>
        <w:tc>
          <w:tcPr>
            <w:tcW w:type="dxa" w:w="5570"/>
            <w:tcMar>
              <w:top w:type="dxa" w:w="60"/>
              <w:left w:type="dxa" w:w="100"/>
              <w:bottom w:type="dxa" w:w="60"/>
              <w:right w:type="dxa" w:w="100"/>
            </w:tcMar>
          </w:tcPr>
          <w:p>
            <w:pPr>
              <w:spacing w:after="0" w:before="0"/>
            </w:pPr>
            <w:r>
              <w:rPr>
                <w:b w:val="false"/>
                <w:bCs w:val="false"/>
                <w:i w:val="false"/>
                <w:iCs w:val="false"/>
              </w:rPr>
              <w:t xml:space="preserve">Complies. All active equipment meets US FCC Class B, or EN 55022 and EN 50082-1, or equivalent emission standards. The laser personalization systems carry CE, UKCA and FCC certification, and copies of the emission certificates are included with the proposal. [CONFIRM: The laser datasheet lists FCC without the class, and the mailing datasheet lists no certification. Section IV of the RFP requires certificate copies in the proposal: obtain FCC Class B or EN 55022 certificates for the laser, mailing and ICT equipment. The RFP's 'END' is read as EN.]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Attachment: Laser personalization system datasheet; Attachment: EMC certification</w:t>
            </w:r>
          </w:p>
        </w:tc>
      </w:tr>
    </w:tbl>
    <w:p>
      <w:pPr>
        <w:spacing w:after="140"/>
      </w:pPr>
    </w:p>
    <w:p>
      <w:pPr>
        <w:pStyle w:val="Heading2"/>
        <w:numPr>
          <w:ilvl w:val="1"/>
          <w:numId w:val="2"/>
        </w:numPr>
        <w:spacing w:after="140" w:before="260"/>
      </w:pPr>
      <w:r>
        <w:t xml:space="preserve">A</w:t>
      </w:r>
      <w:bookmarkStart w:name="sec_3_1" w:id="1"/>
      <w:r>
        <w:rPr>
          <w:b w:val="false"/>
          <w:bCs w:val="false"/>
          <w:i w:val="false"/>
          <w:iCs w:val="false"/>
        </w:rPr>
        <w:t xml:space="preserve">utomatic modular laser personalization systems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3.1.1</w:t>
            </w:r>
            <w:r>
              <w:rPr>
                <w:b w:val="false"/>
                <w:bCs w:val="false"/>
                <w:i w:val="false"/>
                <w:iCs w:val="false"/>
              </w:rPr>
              <w:t xml:space="preserve"> Two automatic modular laser personalization systems for polycarbonate cards.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automatic modular laser personalization systems are supplied, installed and commissioned, each a complete line from blank card feeder to verified output on 100% polycarbonate cards. As clarified in the Response to Clarifications 001, the cards are chipless, and the modular platform keeps provision for chip encoding should NRB adopt chip-based cards later.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1&quot;">
              <w:r>
                <w:rPr>
                  <w:rStyle w:val="Hyperlink"/>
                  <w:b w:val="false"/>
                  <w:bCs w:val="false"/>
                  <w:i w:val="false"/>
                  <w:iCs w:val="false"/>
                </w:rPr>
                <w:t xml:space="preserve">1.1</w:t>
              </w:r>
            </w:fldSimple>
            <w:r>
              <w:rPr>
                <w:b w:val="false"/>
                <w:bCs w:val="false"/>
                <w:i w:val="false"/>
                <w:iCs w:val="false"/>
              </w:rPr>
              <w:t xml:space="preserve"> and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3.1.2</w:t>
            </w:r>
            <w:r>
              <w:rPr>
                <w:b w:val="false"/>
                <w:bCs w:val="false"/>
                <w:i w:val="false"/>
                <w:iCs w:val="false"/>
              </w:rPr>
              <w:t xml:space="preserve"> Duplex printing speed of at least 2,000 cards per hour across two machines.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and the Responses to Queries 003, 2,000 cards per hour is the combined output of accepted finished cards, at least 1,000 per machine. Each machine, rated up to 2,000 cards per hour, personalizes both faces in one pass, and the rate is measured at factory acceptance with full personalization content. [CONFIRM: </w:t>
            </w:r>
            <w:r>
              <w:rPr>
                <w:b w:val="false"/>
                <w:bCs w:val="false"/>
                <w:i w:val="false"/>
                <w:iCs w:val="false"/>
              </w:rPr>
              <w:t xml:space="preserve">System Architecture Section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does not yet state that throughput is measured on accepted finished cards, as the Responses to Queries 003 require. Confirm with the manufacturer the rated duplex output with the full personalization content, allowing for the 1 percent reject rate.]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3.1.3</w:t>
            </w:r>
            <w:r>
              <w:rPr>
                <w:b w:val="false"/>
                <w:bCs w:val="false"/>
                <w:i w:val="false"/>
                <w:iCs w:val="false"/>
              </w:rPr>
              <w:t xml:space="preserve"> Laser engrave text, greyscale picture and stacked-layer security features including CLI, QR code and tactile printing.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card is laser engraved on both faces with variable text, a greyscale portrait, secondary image, micro lettering, CLI, a QR code carrying both alphanumeric values, and tactile laser printing. Each feature is engraved as a stacked layer at a controlled depth within the fused polycarbonate body, so altering one disturbs the others. [CONFIRM: The laser datasheet lists CLI/MLI and micro text as optional features and does not mention tactile laser printing. Confirm these options are in the configuration ordered and obtain manufacturer evidence for tactile marking, since this criterion is scored on documentary evidence. The meaning of 'both alphanumeric values' and the QR specification are still to come from the Purchaser.]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Document-5-Technical-Proposal-System-Architecture.docx&quot; \l &quot;sec_6_7&quot;">
              <w:r>
                <w:rPr>
                  <w:rStyle w:val="Hyperlink"/>
                  <w:b w:val="false"/>
                  <w:bCs w:val="false"/>
                  <w:i w:val="false"/>
                  <w:iCs w:val="false"/>
                </w:rPr>
                <w:t xml:space="preserve">6.7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3.1.4</w:t>
            </w:r>
            <w:r>
              <w:rPr>
                <w:b w:val="false"/>
                <w:bCs w:val="false"/>
                <w:i w:val="false"/>
                <w:iCs w:val="false"/>
              </w:rPr>
              <w:t xml:space="preserve"> Personalization systems produce multilingual identity documents.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003, card text is in English and Chichewa, and the System engraves both as the approved layout requires. Data is held in Unicode throughout, and the characters used in Chichewa text are profiled against the card layout during discovery.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3&quot;">
              <w:r>
                <w:rPr>
                  <w:rStyle w:val="Hyperlink"/>
                  <w:b w:val="false"/>
                  <w:bCs w:val="false"/>
                  <w:i w:val="false"/>
                  <w:iCs w:val="false"/>
                </w:rPr>
                <w:t xml:space="preserve">2.3</w:t>
              </w:r>
            </w:fldSimple>
          </w:p>
        </w:tc>
      </w:tr>
      <w:tr>
        <w:tc>
          <w:tcPr>
            <w:tcW w:type="dxa" w:w="2000"/>
            <w:tcMar>
              <w:top w:type="dxa" w:w="60"/>
              <w:left w:type="dxa" w:w="100"/>
              <w:bottom w:type="dxa" w:w="60"/>
              <w:right w:type="dxa" w:w="100"/>
            </w:tcMar>
          </w:tcPr>
          <w:p>
            <w:pPr>
              <w:spacing w:after="0" w:before="0"/>
            </w:pPr>
            <w:r>
              <w:rPr>
                <w:b/>
                <w:bCs/>
                <w:i w:val="false"/>
                <w:iCs w:val="false"/>
              </w:rPr>
              <w:t xml:space="preserve">3.1.5</w:t>
            </w:r>
            <w:r>
              <w:rPr>
                <w:b w:val="false"/>
                <w:bCs w:val="false"/>
                <w:i w:val="false"/>
                <w:iCs w:val="false"/>
              </w:rPr>
              <w:t xml:space="preserve"> In-line verification of personalized card data, including verification of the optical data.</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Every card is verified in the production path before it leaves the machine: engraved text is read by optical character recognition and verification, and the QR and other machine-readable codes are read and compared with the prepared record, on both faces. Verification covers every card, not a sample. [CONFIRM: Vision inspection is listed as an optional module on the S8000 laser datasheet. Confirm it is included on both machines in the configuration ordered.]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3.1.6</w:t>
            </w:r>
            <w:r>
              <w:rPr>
                <w:b w:val="false"/>
                <w:bCs w:val="false"/>
                <w:i w:val="false"/>
                <w:iCs w:val="false"/>
              </w:rPr>
              <w:t xml:space="preserve"> Automatic blank card recognition against reference, with independent X-Y alignment for front, back and CLI.</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Before marking, the system identifies each blank card body and checks it against the card reference for the job, rejecting a mismatched body before any data is applied. X-Y alignment is performed independently for the front, the back and the CLI feature, registered to the pre-printed body and the lenticular structure.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000"/>
            <w:tcMar>
              <w:top w:type="dxa" w:w="60"/>
              <w:left w:type="dxa" w:w="100"/>
              <w:bottom w:type="dxa" w:w="60"/>
              <w:right w:type="dxa" w:w="100"/>
            </w:tcMar>
          </w:tcPr>
          <w:p>
            <w:pPr>
              <w:spacing w:after="0" w:before="0"/>
            </w:pPr>
            <w:r>
              <w:rPr>
                <w:b/>
                <w:bCs/>
                <w:i w:val="false"/>
                <w:iCs w:val="false"/>
              </w:rPr>
              <w:t xml:space="preserve">3.1.7</w:t>
            </w:r>
            <w:r>
              <w:rPr>
                <w:b w:val="false"/>
                <w:bCs w:val="false"/>
                <w:i w:val="false"/>
                <w:iCs w:val="false"/>
              </w:rPr>
              <w:t xml:space="preserve"> Automatic rejection of bad cards and in-job automatic or manual reproduction, notified by message.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Cards failing verification are rejected automatically and recorded against the job with the card, the point of failure and the reason, and the operator is notified by an on-screen message. Reproduction takes place within the same job, automatically or on operator instruction, without stopping production.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000"/>
            <w:tcMar>
              <w:top w:type="dxa" w:w="60"/>
              <w:left w:type="dxa" w:w="100"/>
              <w:bottom w:type="dxa" w:w="60"/>
              <w:right w:type="dxa" w:w="100"/>
            </w:tcMar>
          </w:tcPr>
          <w:p>
            <w:pPr>
              <w:spacing w:after="0" w:before="0"/>
            </w:pPr>
            <w:r>
              <w:rPr>
                <w:b/>
                <w:bCs/>
                <w:i w:val="false"/>
                <w:iCs w:val="false"/>
              </w:rPr>
              <w:t xml:space="preserve">3.1.8</w:t>
            </w:r>
            <w:r>
              <w:rPr>
                <w:b w:val="false"/>
                <w:bCs w:val="false"/>
                <w:i w:val="false"/>
                <w:iCs w:val="false"/>
              </w:rPr>
              <w:t xml:space="preserve"> GUI machine software for record status retrieval, with audit, XML or flat files per job or batch.</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graphical machine software lets staff retrieve the status of each record in a job, and the Printer Control Service writes that status to the production database for publication to NRIS. On completion of each job or batch, the machine generates audit, XML or flat-file output recording the outcome of every record.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and </w:t>
            </w:r>
            <w:fldSimple w:instr="HYPERLINK &quot;Document-5-Technical-Proposal-System-Architecture.docx&quot; \l &quot;sec_6_6&quot;">
              <w:r>
                <w:rPr>
                  <w:rStyle w:val="Hyperlink"/>
                  <w:b w:val="false"/>
                  <w:bCs w:val="false"/>
                  <w:i w:val="false"/>
                  <w:iCs w:val="false"/>
                </w:rPr>
                <w:t xml:space="preserve">6.6</w:t>
              </w:r>
            </w:fldSimple>
          </w:p>
        </w:tc>
      </w:tr>
      <w:tr>
        <w:tc>
          <w:tcPr>
            <w:tcW w:type="dxa" w:w="2000"/>
            <w:tcMar>
              <w:top w:type="dxa" w:w="60"/>
              <w:left w:type="dxa" w:w="100"/>
              <w:bottom w:type="dxa" w:w="60"/>
              <w:right w:type="dxa" w:w="100"/>
            </w:tcMar>
          </w:tcPr>
          <w:p>
            <w:pPr>
              <w:spacing w:after="0" w:before="0"/>
            </w:pPr>
            <w:r>
              <w:rPr>
                <w:b/>
                <w:bCs/>
                <w:i w:val="false"/>
                <w:iCs w:val="false"/>
              </w:rPr>
              <w:t xml:space="preserve">3.1.9</w:t>
            </w:r>
            <w:r>
              <w:rPr>
                <w:b w:val="false"/>
                <w:bCs w:val="false"/>
                <w:i w:val="false"/>
                <w:iCs w:val="false"/>
              </w:rPr>
              <w:t xml:space="preserve"> Emergency buttons around the machine, reachable by the operator from each point.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Emergency stop buttons are positioned around each machine so that the operator can reach one from every point at the line. Emergency stops are tested at factory acceptance, and every operator is trained and assessed on reaching and operating them from the working position. [CONFIRM: The S8000 laser datasheet lists a single emergency stop button. Confirm with the manufacturer that emergency stop buttons are positioned around the assembled modular line, reachable from each operator position.]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3.1.10</w:t>
            </w:r>
            <w:r>
              <w:rPr>
                <w:b w:val="false"/>
                <w:bCs w:val="false"/>
                <w:i w:val="false"/>
                <w:iCs w:val="false"/>
              </w:rPr>
              <w:t xml:space="preserve"> Modular machine allowing future expansion and upgrades.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machine is a modular platform: laser stations and processing modules are added or reconfigured on site without returning the machine to the factory. The platform accepts up to four laser modules and chip encoding modules, keeping the line compatible with future chip encoding mandates, as the Responses to Queries 003 require.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3.1.11</w:t>
            </w:r>
            <w:r>
              <w:rPr>
                <w:b w:val="false"/>
                <w:bCs w:val="false"/>
                <w:i w:val="false"/>
                <w:iCs w:val="false"/>
              </w:rPr>
              <w:t xml:space="preserve"> Fiber-optic or diode-based laser and greyscale printing technology for polycarbonate card personalization.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Marking uses Master Oscillator Power Amplifier fiber laser technology with greyscale printing, applied to 100% polycarbonate cards. Engraving carbonizes material within the card body, so personalized data cannot be removed or altered without visible damage. As clarified in the Response to Clarifications 001, the cards are chipless.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Attachment: Laser personalization system datasheet</w:t>
            </w:r>
          </w:p>
        </w:tc>
      </w:tr>
    </w:tbl>
    <w:p>
      <w:pPr>
        <w:spacing w:after="140"/>
      </w:pPr>
    </w:p>
    <w:p>
      <w:pPr>
        <w:pStyle w:val="Heading2"/>
        <w:numPr>
          <w:ilvl w:val="1"/>
          <w:numId w:val="2"/>
        </w:numPr>
        <w:spacing w:after="140" w:before="260"/>
      </w:pPr>
      <w:r>
        <w:t xml:space="preserve">P</w:t>
      </w:r>
      <w:bookmarkStart w:name="sec_3_2" w:id="1"/>
      <w:r>
        <w:rPr>
          <w:b w:val="false"/>
          <w:bCs w:val="false"/>
          <w:i w:val="false"/>
          <w:iCs w:val="false"/>
        </w:rPr>
        <w:t xml:space="preserve">ersonalization laser features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3.2.1.1</w:t>
            </w:r>
            <w:r>
              <w:rPr>
                <w:b w:val="false"/>
                <w:bCs w:val="false"/>
                <w:i w:val="false"/>
                <w:iCs w:val="false"/>
              </w:rPr>
              <w:t xml:space="preserve"> Graphical layout designer to create, modify and manage card personalization layouts.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graphical Card Layout Template Editor, supplied with the manufacturer's personalization software, creates, modifies and manages card layouts. Templates are versioned and approved before production use, and each card records the template version that produced it. As clarified in the Responses to Queries 04, it is used to redesign the Malawi National ID template with NRB.</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4&quot;">
              <w:r>
                <w:rPr>
                  <w:rStyle w:val="Hyperlink"/>
                  <w:b w:val="false"/>
                  <w:bCs w:val="false"/>
                  <w:i w:val="false"/>
                  <w:iCs w:val="false"/>
                </w:rPr>
                <w:t xml:space="preserve">2.4</w:t>
              </w:r>
            </w:fldSimple>
          </w:p>
        </w:tc>
      </w:tr>
      <w:tr>
        <w:tc>
          <w:tcPr>
            <w:tcW w:type="dxa" w:w="2110"/>
            <w:tcMar>
              <w:top w:type="dxa" w:w="60"/>
              <w:left w:type="dxa" w:w="100"/>
              <w:bottom w:type="dxa" w:w="60"/>
              <w:right w:type="dxa" w:w="100"/>
            </w:tcMar>
          </w:tcPr>
          <w:p>
            <w:pPr>
              <w:spacing w:after="0" w:before="0"/>
            </w:pPr>
            <w:r>
              <w:rPr>
                <w:b/>
                <w:bCs/>
                <w:i w:val="false"/>
                <w:iCs w:val="false"/>
              </w:rPr>
              <w:t xml:space="preserve">3.2.1.2</w:t>
            </w:r>
            <w:r>
              <w:rPr>
                <w:b w:val="false"/>
                <w:bCs w:val="false"/>
                <w:i w:val="false"/>
                <w:iCs w:val="false"/>
              </w:rPr>
              <w:t xml:space="preserve"> Editor configures text, images, CLI windows, micro-text, MRZ and QR zones and all variable elements.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editor configures text fields, portrait and signature images, the CLI window, micro-text zones, MRZ and QR zones, the card identifier zone and tactile regions, fixing the position of every variable element. The production path binds data into these elements and cannot move, resize or remove them.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6_3&quot;">
              <w:r>
                <w:rPr>
                  <w:rStyle w:val="Hyperlink"/>
                  <w:b w:val="false"/>
                  <w:bCs w:val="false"/>
                  <w:i w:val="false"/>
                  <w:iCs w:val="false"/>
                </w:rPr>
                <w:t xml:space="preserve">6.3</w:t>
              </w:r>
            </w:fldSimple>
          </w:p>
        </w:tc>
      </w:tr>
      <w:tr>
        <w:tc>
          <w:tcPr>
            <w:tcW w:type="dxa" w:w="2110"/>
            <w:tcMar>
              <w:top w:type="dxa" w:w="60"/>
              <w:left w:type="dxa" w:w="100"/>
              <w:bottom w:type="dxa" w:w="60"/>
              <w:right w:type="dxa" w:w="100"/>
            </w:tcMar>
          </w:tcPr>
          <w:p>
            <w:pPr>
              <w:spacing w:after="0" w:before="0"/>
            </w:pPr>
            <w:r>
              <w:rPr>
                <w:b/>
                <w:bCs/>
                <w:i w:val="false"/>
                <w:iCs w:val="false"/>
              </w:rPr>
              <w:t xml:space="preserve">3.2.2.1.1</w:t>
            </w:r>
            <w:r>
              <w:rPr>
                <w:b w:val="false"/>
                <w:bCs w:val="false"/>
                <w:i w:val="false"/>
                <w:iCs w:val="false"/>
              </w:rPr>
              <w:t xml:space="preserve"> Picture marking resolution of 600 dpi or higher, in greyscale as amended.</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As amended by Addendum No. 2, the portrait is marked at 600 dpi or higher in greyscale. Continuous tone is produced by varying the laser energy density at each addressed point, and the resolution is measured on produced cards at factory acceptance. [CONFIRM: The laser datasheet states no marking resolution. Obtain the manufacturer's figure, ideally a measured sample, since this criterion is scored on the quality of evidence.]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Document-5-Technical-Proposal-System-Architecture.docx&quot; \l &quot;sec_3_3&quot;">
              <w:r>
                <w:rPr>
                  <w:rStyle w:val="Hyperlink"/>
                  <w:b w:val="false"/>
                  <w:bCs w:val="false"/>
                  <w:i w:val="false"/>
                  <w:iCs w:val="false"/>
                </w:rPr>
                <w:t xml:space="preserve">3.3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3.2.2.1.2</w:t>
            </w:r>
            <w:r>
              <w:rPr>
                <w:b w:val="false"/>
                <w:bCs w:val="false"/>
                <w:i w:val="false"/>
                <w:iCs w:val="false"/>
              </w:rPr>
              <w:t xml:space="preserve"> Micro text at 600 dpi or higher, with 0.33 mm line width and height.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Micro text is marked at 600 dpi or higher at a line width and height of 0.33 mm, using a focused laser spot well below that dimension and beam positioning repeatable enough to place successive characters without drift. The resolution is measured on produced cards at factory acceptance. [CONFIRM: The laser datasheet confirms micro text but gives no resolution or line size. Obtain the manufacturer's figure or a measured sample.]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3&quot;">
              <w:r>
                <w:rPr>
                  <w:rStyle w:val="Hyperlink"/>
                  <w:b w:val="false"/>
                  <w:bCs w:val="false"/>
                  <w:i w:val="false"/>
                  <w:iCs w:val="false"/>
                </w:rPr>
                <w:t xml:space="preserve">3.3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3.2.3.1.1</w:t>
            </w:r>
            <w:r>
              <w:rPr>
                <w:b w:val="false"/>
                <w:bCs w:val="false"/>
                <w:i w:val="false"/>
                <w:iCs w:val="false"/>
              </w:rPr>
              <w:t xml:space="preserve"> Integrated dedicated laser marking unit.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marking subsystem is integrated into each personalization machine and includes a dedicated laser marking unit, with fiber laser engraving modules in a protected laser marking chamber performing all marking on both faces of the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3.2.3.1.2</w:t>
            </w:r>
            <w:r>
              <w:rPr>
                <w:b w:val="false"/>
                <w:bCs w:val="false"/>
                <w:i w:val="false"/>
                <w:iCs w:val="false"/>
              </w:rPr>
              <w:t xml:space="preserve"> Power supply and control PC for laser and greyscale personalization.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Each machine includes its power supply and an industrial control PC for laser and greyscale personalization, which runs the machine software, drives the laser stations and connects to the production network over Ethernet.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3.2.3.1.3</w:t>
            </w:r>
            <w:r>
              <w:rPr>
                <w:b w:val="false"/>
                <w:bCs w:val="false"/>
                <w:i w:val="false"/>
                <w:iCs w:val="false"/>
              </w:rPr>
              <w:t xml:space="preserve"> Integrated cooling system for continuous industrial-scale laser engraving.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An integrated cooling system in each machine maintains laser operating temperature under continuous industrial duty, and the machines are rated for 24/7 operation. Cooling is serviced at the manufacturer's preventive maintenance intervals.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5_4&quot;">
              <w:r>
                <w:rPr>
                  <w:rStyle w:val="Hyperlink"/>
                  <w:b w:val="false"/>
                  <w:bCs w:val="false"/>
                  <w:i w:val="false"/>
                  <w:iCs w:val="false"/>
                </w:rPr>
                <w:t xml:space="preserve">5.4</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3.2.3.1.4</w:t>
            </w:r>
            <w:r>
              <w:rPr>
                <w:b w:val="false"/>
                <w:bCs w:val="false"/>
                <w:i w:val="false"/>
                <w:iCs w:val="false"/>
              </w:rPr>
              <w:t xml:space="preserve"> All components fully integrated, operating as a unified system with synchronized workflow control.</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laser marking unit, power supply, control PC and cooling system are fully integrated into the personalization machine rather than assembled from separate units, and operate as a single system under synchronized workflow control.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p>
        </w:tc>
      </w:tr>
      <w:tr>
        <w:tc>
          <w:tcPr>
            <w:tcW w:type="dxa" w:w="2110"/>
            <w:tcMar>
              <w:top w:type="dxa" w:w="60"/>
              <w:left w:type="dxa" w:w="100"/>
              <w:bottom w:type="dxa" w:w="60"/>
              <w:right w:type="dxa" w:w="100"/>
            </w:tcMar>
          </w:tcPr>
          <w:p>
            <w:pPr>
              <w:spacing w:after="0" w:before="0"/>
            </w:pPr>
            <w:r>
              <w:rPr>
                <w:b/>
                <w:bCs/>
                <w:i w:val="false"/>
                <w:iCs w:val="false"/>
              </w:rPr>
              <w:t xml:space="preserve">3.2.4.1.1</w:t>
            </w:r>
            <w:r>
              <w:rPr>
                <w:b w:val="false"/>
                <w:bCs w:val="false"/>
                <w:i w:val="false"/>
                <w:iCs w:val="false"/>
              </w:rPr>
              <w:t xml:space="preserve"> Calibration tool adjusting individual or all laser units for uniform marking quality.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Each machine includes a laser calibration tool that adjusts an individual laser station or all stations simultaneously. All stations are calibrated to a common reference, so marking quality is consistent across the line and cards marked by different stations in the same job are indistinguishable.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Document-5-Technical-Proposal-System-Architecture.docx&quot; \l &quot;sec_6_7&quot;">
              <w:r>
                <w:rPr>
                  <w:rStyle w:val="Hyperlink"/>
                  <w:b w:val="false"/>
                  <w:bCs w:val="false"/>
                  <w:i w:val="false"/>
                  <w:iCs w:val="false"/>
                </w:rPr>
                <w:t xml:space="preserve">6.7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3.2.4.1.2</w:t>
            </w:r>
            <w:r>
              <w:rPr>
                <w:b w:val="false"/>
                <w:bCs w:val="false"/>
                <w:i w:val="false"/>
                <w:iCs w:val="false"/>
              </w:rPr>
              <w:t xml:space="preserve"> Automated, operator-assisted calibration generating audit logs.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Calibration is automated and operator-assisted, and every calibration generates an audit log recording what was adjusted, when and by whom. Calibration is repeated at the manufacturer's intervals and whenever the calibration logs show drift.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5_4&quot;">
              <w:r>
                <w:rPr>
                  <w:rStyle w:val="Hyperlink"/>
                  <w:b w:val="false"/>
                  <w:bCs w:val="false"/>
                  <w:i w:val="false"/>
                  <w:iCs w:val="false"/>
                </w:rPr>
                <w:t xml:space="preserve">5.4</w:t>
              </w:r>
            </w:fldSimple>
          </w:p>
        </w:tc>
      </w:tr>
      <w:tr>
        <w:tc>
          <w:tcPr>
            <w:tcW w:type="dxa" w:w="2110"/>
            <w:tcMar>
              <w:top w:type="dxa" w:w="60"/>
              <w:left w:type="dxa" w:w="100"/>
              <w:bottom w:type="dxa" w:w="60"/>
              <w:right w:type="dxa" w:w="100"/>
            </w:tcMar>
          </w:tcPr>
          <w:p>
            <w:pPr>
              <w:spacing w:after="0" w:before="0"/>
            </w:pPr>
            <w:r>
              <w:rPr>
                <w:b/>
                <w:bCs/>
                <w:i w:val="false"/>
                <w:iCs w:val="false"/>
              </w:rPr>
              <w:t xml:space="preserve">3.2.5.1</w:t>
            </w:r>
            <w:r>
              <w:rPr>
                <w:b w:val="false"/>
                <w:bCs w:val="false"/>
                <w:i w:val="false"/>
                <w:iCs w:val="false"/>
              </w:rPr>
              <w:t xml:space="preserve"> Each laser personalizes an entire card independently of other lasers.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Each integrated laser station receives the full card layout and the full data record for its card, and completes all marking on both faces without depending on any other station. [CONFIRM: Scored on documentary evidence (Document Register item 1.13). The laser datasheet does not show that each LX module marks a whole card alone. Obtain manufacturer evidence.]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3.2.5.2</w:t>
            </w:r>
            <w:r>
              <w:rPr>
                <w:b w:val="false"/>
                <w:bCs w:val="false"/>
                <w:i w:val="false"/>
                <w:iCs w:val="false"/>
              </w:rPr>
              <w:t xml:space="preserve"> Any laser station can be switched off or serviced without interrupting or degrading production.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Any laser station can be switched on, switched off or removed for maintenance while the line runs, and the workflow routes cards only to available stations. All stations are calibrated to identical quality, so output is unaffected, and this is demonstrated at factory acceptance by taking a station out during a run. [CONFIRM: Confirm with the manufacturer the hourly rate of one machine with a station out of service, since the clause requires that the production flow is not degraded.]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3.2.6.1.1</w:t>
            </w:r>
            <w:r>
              <w:rPr>
                <w:b w:val="false"/>
                <w:bCs w:val="false"/>
                <w:i w:val="false"/>
                <w:iCs w:val="false"/>
              </w:rPr>
              <w:t xml:space="preserve"> Submit machine datasheet with dimensions, weight, operating environment and system architecture.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Machine Technical Datasheet is submitted, giving module dimensions (L x W x H: control module 48/96 x 70 x 85 cm; laser, input and output modules 48 x 70 x 140 cm), operating environment (15 to 40 degrees Celsius, 20 to 65 percent humidity) and Ethernet connectivity. The System Architecture describes each component. [GAP: The datasheet on file gives no weight and only per-module dimensions, not the assembled line. The System Architecture subsection 'Technical data and installation requirements' is listed in its contents but not yet drafted. Obtain weight and overall dimensions for the configuration offered.]</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w:t>
            </w: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9&quot;">
              <w:r>
                <w:rPr>
                  <w:rStyle w:val="Hyperlink"/>
                  <w:b w:val="false"/>
                  <w:bCs w:val="false"/>
                  <w:i w:val="false"/>
                  <w:iCs w:val="false"/>
                </w:rPr>
                <w:t xml:space="preserve">3.9</w:t>
              </w:r>
            </w:fldSimple>
          </w:p>
        </w:tc>
      </w:tr>
      <w:tr>
        <w:tc>
          <w:tcPr>
            <w:tcW w:type="dxa" w:w="2110"/>
            <w:tcMar>
              <w:top w:type="dxa" w:w="60"/>
              <w:left w:type="dxa" w:w="100"/>
              <w:bottom w:type="dxa" w:w="60"/>
              <w:right w:type="dxa" w:w="100"/>
            </w:tcMar>
          </w:tcPr>
          <w:p>
            <w:pPr>
              <w:spacing w:after="0" w:before="0"/>
            </w:pPr>
            <w:r>
              <w:rPr>
                <w:b/>
                <w:bCs/>
                <w:i w:val="false"/>
                <w:iCs w:val="false"/>
              </w:rPr>
              <w:t xml:space="preserve">3.2.6.1.2</w:t>
            </w:r>
            <w:r>
              <w:rPr>
                <w:b w:val="false"/>
                <w:bCs w:val="false"/>
                <w:i w:val="false"/>
                <w:iCs w:val="false"/>
              </w:rPr>
              <w:t xml:space="preserve"> Submit laser unit details: brand, model, type, technology, wavelength, lifespan, maintenance intervals.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laser engraving units are Identis LX GEN 3 laser markers using Master Oscillator Power Amplifier fiber laser technology, up to four per machine. Wavelength, expected operational lifespan and maintenance intervals are stated in the Laser Engraving Unit Details submitted with the proposal. [GAP: Wavelength, operational lifespan and maintenance intervals are not in any document on file. Obtain the Laser Engraving Unit Details from the manufacturer; the Document Register marks it mandatory.]</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Attachment: Laser Engraving Unit Details; </w:t>
            </w:r>
            <w:r>
              <w:rPr>
                <w:b w:val="false"/>
                <w:bCs w:val="false"/>
                <w:i w:val="false"/>
                <w:iCs w:val="false"/>
              </w:rPr>
              <w:t xml:space="preserve">Preliminary Project Plan Section </w:t>
            </w:r>
            <w:fldSimple w:instr="HYPERLINK &quot;Preliminary-Project-Plan-Information-System-Sub-Plans.docx&quot; \l &quot;sec_5_4&quot;">
              <w:r>
                <w:rPr>
                  <w:rStyle w:val="Hyperlink"/>
                  <w:b w:val="false"/>
                  <w:bCs w:val="false"/>
                  <w:i w:val="false"/>
                  <w:iCs w:val="false"/>
                </w:rPr>
                <w:t xml:space="preserve">5.4</w:t>
              </w:r>
            </w:fldSimple>
          </w:p>
        </w:tc>
      </w:tr>
      <w:tr>
        <w:tc>
          <w:tcPr>
            <w:tcW w:type="dxa" w:w="2110"/>
            <w:tcMar>
              <w:top w:type="dxa" w:w="60"/>
              <w:left w:type="dxa" w:w="100"/>
              <w:bottom w:type="dxa" w:w="60"/>
              <w:right w:type="dxa" w:w="100"/>
            </w:tcMar>
          </w:tcPr>
          <w:p>
            <w:pPr>
              <w:spacing w:after="0" w:before="0"/>
            </w:pPr>
            <w:r>
              <w:rPr>
                <w:b/>
                <w:bCs/>
                <w:i w:val="false"/>
                <w:iCs w:val="false"/>
              </w:rPr>
              <w:t xml:space="preserve">3.2.6.1.3</w:t>
            </w:r>
            <w:r>
              <w:rPr>
                <w:b w:val="false"/>
                <w:bCs w:val="false"/>
                <w:i w:val="false"/>
                <w:iCs w:val="false"/>
              </w:rPr>
              <w:t xml:space="preserve"> Dedicated document on power requirements and air pressure, flow rate and compressor specifications.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Each personalization machine operates on 100 to 240 VAC at 50/60 Hz with a 2,500 W power supply, and includes an air compressor system for pneumatic transport and handling. Air pressure, flow rate and compressor specifications are set out in the dedicated Power and Air Pressure Requirements document. [GAP: Air pressure, flow rate and compressor figures are not on file, and the datasheet does not say whether 2,500 W is per module or per machine. Obtain the dedicated document from the manufacturer; the Document Register marks it mandatory.]</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Attachment: Power and Air Pressure Requirements; </w:t>
            </w: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p>
        </w:tc>
      </w:tr>
    </w:tbl>
    <w:p>
      <w:pPr>
        <w:spacing w:after="140"/>
      </w:pPr>
    </w:p>
    <w:p>
      <w:pPr>
        <w:pStyle w:val="Heading2"/>
        <w:numPr>
          <w:ilvl w:val="1"/>
          <w:numId w:val="2"/>
        </w:numPr>
        <w:spacing w:after="140" w:before="260"/>
      </w:pPr>
      <w:r>
        <w:t xml:space="preserve">A</w:t>
      </w:r>
      <w:bookmarkStart w:name="sec_3_3" w:id="1"/>
      <w:r>
        <w:rPr>
          <w:b w:val="false"/>
          <w:bCs w:val="false"/>
          <w:i w:val="false"/>
          <w:iCs w:val="false"/>
        </w:rPr>
        <w:t xml:space="preserve">utomated mailing and dispatch systems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350"/>
        <w:gridCol w:w="200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35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670"/>
            <w:tcMar>
              <w:top w:type="dxa" w:w="60"/>
              <w:left w:type="dxa" w:w="100"/>
              <w:bottom w:type="dxa" w:w="60"/>
              <w:right w:type="dxa" w:w="100"/>
            </w:tcMar>
          </w:tcPr>
          <w:p>
            <w:pPr>
              <w:spacing w:after="0" w:before="0"/>
            </w:pPr>
            <w:r>
              <w:rPr>
                <w:b/>
                <w:bCs/>
                <w:i w:val="false"/>
                <w:iCs w:val="false"/>
              </w:rPr>
              <w:t xml:space="preserve">3.3.1</w:t>
            </w:r>
            <w:r>
              <w:rPr>
                <w:b w:val="false"/>
                <w:bCs w:val="false"/>
                <w:i w:val="false"/>
                <w:iCs w:val="false"/>
              </w:rPr>
              <w:t xml:space="preserve"> Two mailing systems affixing one to four cards per carrier letter.</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Two automated mailing and dispatch systems are supplied, installed and commissioned. Each attaches one to four cards to a single carrier letter, printed and affixed in the same pass so that the carrier is matched to its cards by data rather than by sequence.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3.3.2</w:t>
            </w:r>
            <w:r>
              <w:rPr>
                <w:b w:val="false"/>
                <w:bCs w:val="false"/>
                <w:i w:val="false"/>
                <w:iCs w:val="false"/>
              </w:rPr>
              <w:t xml:space="preserve"> Automatic conveyance of documents through the inserting module into envelopes.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After the cards are affixed and the match is verified, the carrier is folded in C, V or Z format and conveyed automatically through the inserting module into the envelope, which is then sealed. No manual handling occurs between affixing and insertion, and insertion is tested in the mailing system pre-commissioning test.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3.3.3</w:t>
            </w:r>
            <w:r>
              <w:rPr>
                <w:b w:val="false"/>
                <w:bCs w:val="false"/>
                <w:i w:val="false"/>
                <w:iCs w:val="false"/>
              </w:rPr>
              <w:t xml:space="preserve"> Verification capabilities including 1D, 2D and QR code verification.</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verification station reads 1D, 2D and QR codes, and this is tested at factory acceptance. Each card is read twice against the job record, before its carrier is printed and again with its carrier after affixing, and any mismatch is diverted to the reject magazine instead of being inserted. [CONFIRM: The card data reading station is an optional module on the MS1000 datasheet, which does not state 1D, 2D and QR capability. Confirm it is configured on both lines.]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1670"/>
            <w:tcMar>
              <w:top w:type="dxa" w:w="60"/>
              <w:left w:type="dxa" w:w="100"/>
              <w:bottom w:type="dxa" w:w="60"/>
              <w:right w:type="dxa" w:w="100"/>
            </w:tcMar>
          </w:tcPr>
          <w:p>
            <w:pPr>
              <w:spacing w:after="0" w:before="0"/>
            </w:pPr>
            <w:r>
              <w:rPr>
                <w:b/>
                <w:bCs/>
                <w:i w:val="false"/>
                <w:iCs w:val="false"/>
              </w:rPr>
              <w:t xml:space="preserve">3.3.4</w:t>
            </w:r>
            <w:r>
              <w:rPr>
                <w:b w:val="false"/>
                <w:bCs w:val="false"/>
                <w:i w:val="false"/>
                <w:iCs w:val="false"/>
              </w:rPr>
              <w:t xml:space="preserve"> Automatic printing of personalized carrier letters.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carrier printing station prints each personalized carrier letter at the line immediately before the cards are affixed, including the destination address and dispatch reference, from content generated by the Mailing and Dispatch Management System. A4 and US letter formats up to 100 gsm are accepted.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3.3.5</w:t>
            </w:r>
            <w:r>
              <w:rPr>
                <w:b w:val="false"/>
                <w:bCs w:val="false"/>
                <w:i w:val="false"/>
                <w:iCs w:val="false"/>
              </w:rPr>
              <w:t xml:space="preserve"> Fully integrated card transport modules.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Each line includes fully integrated card transport modules that move cards from the input hopper to the affixing station under positional control, within a single integrated line from card reading to sealed and sorted mail piece.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5_1&quot;">
              <w:r>
                <w:rPr>
                  <w:rStyle w:val="Hyperlink"/>
                  <w:b w:val="false"/>
                  <w:bCs w:val="false"/>
                  <w:i w:val="false"/>
                  <w:iCs w:val="false"/>
                </w:rPr>
                <w:t xml:space="preserve">5.1</w:t>
              </w:r>
            </w:fldSimple>
          </w:p>
        </w:tc>
      </w:tr>
      <w:tr>
        <w:tc>
          <w:tcPr>
            <w:tcW w:type="dxa" w:w="1670"/>
            <w:tcMar>
              <w:top w:type="dxa" w:w="60"/>
              <w:left w:type="dxa" w:w="100"/>
              <w:bottom w:type="dxa" w:w="60"/>
              <w:right w:type="dxa" w:w="100"/>
            </w:tcMar>
          </w:tcPr>
          <w:p>
            <w:pPr>
              <w:spacing w:after="0" w:before="0"/>
            </w:pPr>
            <w:r>
              <w:rPr>
                <w:b/>
                <w:bCs/>
                <w:i w:val="false"/>
                <w:iCs w:val="false"/>
              </w:rPr>
              <w:t xml:space="preserve">3.3.6</w:t>
            </w:r>
            <w:r>
              <w:rPr>
                <w:b w:val="false"/>
                <w:bCs w:val="false"/>
                <w:i w:val="false"/>
                <w:iCs w:val="false"/>
              </w:rPr>
              <w:t xml:space="preserve"> Reject magazines for error handling.</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Separate reject magazines receive the cards and carriers diverted out of the production path on verification failure. Rejected items are held under control and recorded against the job, so every card issued to the line is accounted for as a completed mail piece or a recorded reject.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and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3.3.7</w:t>
            </w:r>
            <w:r>
              <w:rPr>
                <w:b w:val="false"/>
                <w:bCs w:val="false"/>
                <w:i w:val="false"/>
                <w:iCs w:val="false"/>
              </w:rPr>
              <w:t xml:space="preserve"> Buffer modules for uninterrupted operation.</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Buffer modules hold work in progress between stations, so a brief stoppage at one station does not halt those upstream and downstream of it, and the line runs continuously under sustained load. Buffer operation is tested at factory acceptance. [CONFIRM: Buffer modules do not appear on the MS1000 datasheet. Confirm with the manufacturer that they are available and included in the configuration.]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1670"/>
            <w:tcMar>
              <w:top w:type="dxa" w:w="60"/>
              <w:left w:type="dxa" w:w="100"/>
              <w:bottom w:type="dxa" w:w="60"/>
              <w:right w:type="dxa" w:w="100"/>
            </w:tcMar>
          </w:tcPr>
          <w:p>
            <w:pPr>
              <w:spacing w:after="0" w:before="0"/>
            </w:pPr>
            <w:r>
              <w:rPr>
                <w:b/>
                <w:bCs/>
                <w:i w:val="false"/>
                <w:iCs w:val="false"/>
              </w:rPr>
              <w:t xml:space="preserve">3.3.8</w:t>
            </w:r>
            <w:r>
              <w:rPr>
                <w:b w:val="false"/>
                <w:bCs w:val="false"/>
                <w:i w:val="false"/>
                <w:iCs w:val="false"/>
              </w:rPr>
              <w:t xml:space="preserve"> Direct technology linkage with Malawi's ID database.</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mailing lines receive job data over a live interface from the Mailing and Dispatch Management System, which draws destination data from NRIS through the single integration gateway and reports packaged, dispatched and delivered status back to NRIS. As clarified in the Clarifications to Queries 005, the Purchaser provides the NRIS API.</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7&quot;">
              <w:r>
                <w:rPr>
                  <w:rStyle w:val="Hyperlink"/>
                  <w:b w:val="false"/>
                  <w:bCs w:val="false"/>
                  <w:i w:val="false"/>
                  <w:iCs w:val="false"/>
                </w:rPr>
                <w:t xml:space="preserve">5.7</w:t>
              </w:r>
            </w:fldSimple>
            <w:r>
              <w:rPr>
                <w:b w:val="false"/>
                <w:bCs w:val="false"/>
                <w:i w:val="false"/>
                <w:iCs w:val="false"/>
              </w:rPr>
              <w:t xml:space="preserve">,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8_4&quot;">
              <w:r>
                <w:rPr>
                  <w:rStyle w:val="Hyperlink"/>
                  <w:b w:val="false"/>
                  <w:bCs w:val="false"/>
                  <w:i w:val="false"/>
                  <w:iCs w:val="false"/>
                </w:rPr>
                <w:t xml:space="preserve">8.4</w:t>
              </w:r>
            </w:fldSimple>
          </w:p>
        </w:tc>
      </w:tr>
      <w:tr>
        <w:tc>
          <w:tcPr>
            <w:tcW w:type="dxa" w:w="1670"/>
            <w:tcMar>
              <w:top w:type="dxa" w:w="60"/>
              <w:left w:type="dxa" w:w="100"/>
              <w:bottom w:type="dxa" w:w="60"/>
              <w:right w:type="dxa" w:w="100"/>
            </w:tcMar>
          </w:tcPr>
          <w:p>
            <w:pPr>
              <w:spacing w:after="0" w:before="0"/>
            </w:pPr>
            <w:r>
              <w:rPr>
                <w:b/>
                <w:bCs/>
                <w:i w:val="false"/>
                <w:iCs w:val="false"/>
              </w:rPr>
              <w:t xml:space="preserve">3.3.9</w:t>
            </w:r>
            <w:r>
              <w:rPr>
                <w:b w:val="false"/>
                <w:bCs w:val="false"/>
                <w:i w:val="false"/>
                <w:iCs w:val="false"/>
              </w:rPr>
              <w:t xml:space="preserve"> Compatibility with modern courier workflows.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System generates a tracking reference for every mail piece and dispatch batch, exports structured dispatch data, records delivery status from an operator, and connects to its application programming interface or by secure file transfer. As clarified in the Clarifications to Queries 005, no postal operator is designated, and Inkript engages one and connects the System to it.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1670"/>
            <w:tcMar>
              <w:top w:type="dxa" w:w="60"/>
              <w:left w:type="dxa" w:w="100"/>
              <w:bottom w:type="dxa" w:w="60"/>
              <w:right w:type="dxa" w:w="100"/>
            </w:tcMar>
          </w:tcPr>
          <w:p>
            <w:pPr>
              <w:spacing w:after="0" w:before="0"/>
            </w:pPr>
            <w:r>
              <w:rPr>
                <w:b/>
                <w:bCs/>
                <w:i w:val="false"/>
                <w:iCs w:val="false"/>
              </w:rPr>
              <w:t xml:space="preserve">3.3.10</w:t>
            </w:r>
            <w:r>
              <w:rPr>
                <w:b w:val="false"/>
                <w:bCs w:val="false"/>
                <w:i w:val="false"/>
                <w:iCs w:val="false"/>
              </w:rPr>
              <w:t xml:space="preserve"> At least 2,000 completed mailers per hour across two machines.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two mailing lines together produce not less than 2,000 completed mailers per hour, each line not less than 1,000. As clarified in the Clarifications to Queries 005, the rate is measured on single-card mailers. It is verified at factory acceptance and in the operational acceptance throughput test. [CONFIRM: The MS1000 datasheet rates each line at up to 1,000 cards per hour, exactly the per-machine minimum, leaving no margin for rejects or stoppages. Confirm the sustained rate with the manufacturer.]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3.3.11</w:t>
            </w:r>
            <w:r>
              <w:rPr>
                <w:b w:val="false"/>
                <w:bCs w:val="false"/>
                <w:i w:val="false"/>
                <w:iCs w:val="false"/>
              </w:rPr>
              <w:t xml:space="preserve"> Packed mailers handed to courier services for last-mile delivery to citizens' enrolment addresses.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Completed mail pieces are grouped into dispatch batches by destination, and each batch is closed with a handover record of contents, time and receiving party. As clarified in the Clarifications to Queries 005, no postal operator is designated, and Inkript engages the operator that delivers the cards and connects the System to its tracking service. [GAP: The Clarifications to Queries 005 make the Supplier 'solely responsible for engaging and contracting with necessary Postal Operators'. </w:t>
            </w:r>
            <w:r>
              <w:rPr>
                <w:b w:val="false"/>
                <w:bCs w:val="false"/>
                <w:i w:val="false"/>
                <w:iCs w:val="false"/>
              </w:rPr>
              <w:t xml:space="preserve">System Architecture Section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r>
              <w:rPr>
                <w:b w:val="false"/>
                <w:bCs w:val="false"/>
                <w:i w:val="false"/>
                <w:iCs w:val="false"/>
              </w:rPr>
              <w:t xml:space="preserve">System Architecture Section </w:t>
            </w:r>
            <w:fldSimple w:instr="HYPERLINK &quot;Document-5-Technical-Proposal-System-Architecture.docx&quot; \l &quot;sec_13_2&quot;">
              <w:r>
                <w:rPr>
                  <w:rStyle w:val="Hyperlink"/>
                  <w:b w:val="false"/>
                  <w:bCs w:val="false"/>
                  <w:i w:val="false"/>
                  <w:iCs w:val="false"/>
                </w:rPr>
                <w:t xml:space="preserve">13.2</w:t>
              </w:r>
            </w:fldSimple>
            <w:r>
              <w:rPr>
                <w:b w:val="false"/>
                <w:bCs w:val="false"/>
                <w:i w:val="false"/>
                <w:iCs w:val="false"/>
              </w:rPr>
              <w:t xml:space="preserve"> commit only to engaging for data exchange, and place physical delivery with NRB's own fleet. Decide whether Inkript contracts the postal operator for last-mile delivery, then align both sections and this row.]</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8_2&quot;">
              <w:r>
                <w:rPr>
                  <w:rStyle w:val="Hyperlink"/>
                  <w:b w:val="false"/>
                  <w:bCs w:val="false"/>
                  <w:i w:val="false"/>
                  <w:iCs w:val="false"/>
                </w:rPr>
                <w:t xml:space="preserve">8.2</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bl>
    <w:p>
      <w:pPr>
        <w:spacing w:after="140"/>
      </w:pPr>
    </w:p>
    <w:p>
      <w:pPr>
        <w:pStyle w:val="Heading2"/>
        <w:numPr>
          <w:ilvl w:val="1"/>
          <w:numId w:val="2"/>
        </w:numPr>
        <w:spacing w:after="140" w:before="260"/>
      </w:pPr>
      <w:r>
        <w:t xml:space="preserve">P</w:t>
      </w:r>
      <w:bookmarkStart w:name="sec_3_4" w:id="1"/>
      <w:r>
        <w:rPr>
          <w:b w:val="false"/>
          <w:bCs w:val="false"/>
          <w:i w:val="false"/>
          <w:iCs w:val="false"/>
        </w:rPr>
        <w:t xml:space="preserve">olycarbonate cards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3.4.1</w:t>
            </w:r>
            <w:r>
              <w:rPr>
                <w:b w:val="false"/>
                <w:bCs w:val="false"/>
                <w:i w:val="false"/>
                <w:iCs w:val="false"/>
              </w:rPr>
              <w:t xml:space="preserve"> Two million fused multilayer polycarbonate cards without adhesives, ten-year life, ISO 7810, ISO 10373-1 and ISO 24789.</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and the Clarifications to Queries 005, two million chipless blank card bodies are supplied, serialized at manufacture. Each is six or more 100% polycarbonate layers fully fused without adhesives, for a minimum ten-year service life, and complies with ISO/IEC 7810, ISO/IEC 10373-1, ISO/IEC 24789-1 and ISO/IEC 24789-2. [CONFIRM: Depends on the card manufacturer's construction confirmation and laboratory test reports, which must be obtained.]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1&quot;">
              <w:r>
                <w:rPr>
                  <w:rStyle w:val="Hyperlink"/>
                  <w:b w:val="false"/>
                  <w:bCs w:val="false"/>
                  <w:i w:val="false"/>
                  <w:iCs w:val="false"/>
                </w:rPr>
                <w:t xml:space="preserve">1.1</w:t>
              </w:r>
            </w:fldSimple>
            <w:r>
              <w:rPr>
                <w:b w:val="false"/>
                <w:bCs w:val="false"/>
                <w:i w:val="false"/>
                <w:iCs w:val="false"/>
              </w:rPr>
              <w:t xml:space="preserve">,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Document-5-Technical-Proposal-System-Architecture.docx&quot; \l &quot;sec_4_6&quot;">
              <w:r>
                <w:rPr>
                  <w:rStyle w:val="Hyperlink"/>
                  <w:b w:val="false"/>
                  <w:bCs w:val="false"/>
                  <w:i w:val="false"/>
                  <w:iCs w:val="false"/>
                </w:rPr>
                <w:t xml:space="preserve">4.6</w:t>
              </w:r>
            </w:fldSimple>
            <w:r>
              <w:rPr>
                <w:b w:val="false"/>
                <w:bCs w:val="false"/>
                <w:i w:val="false"/>
                <w:iCs w:val="false"/>
              </w:rPr>
              <w:t xml:space="preserve">; Attachment: Construction confirmation; Attachment: Card manufacturer laboratory test reports</w:t>
            </w:r>
          </w:p>
        </w:tc>
      </w:tr>
      <w:tr>
        <w:tc>
          <w:tcPr>
            <w:tcW w:type="dxa" w:w="2000"/>
            <w:tcMar>
              <w:top w:type="dxa" w:w="60"/>
              <w:left w:type="dxa" w:w="100"/>
              <w:bottom w:type="dxa" w:w="60"/>
              <w:right w:type="dxa" w:w="100"/>
            </w:tcMar>
          </w:tcPr>
          <w:p>
            <w:pPr>
              <w:spacing w:after="0" w:before="0"/>
            </w:pPr>
            <w:r>
              <w:rPr>
                <w:b/>
                <w:bCs/>
                <w:i w:val="false"/>
                <w:iCs w:val="false"/>
              </w:rPr>
              <w:t xml:space="preserve">3.4.2</w:t>
            </w:r>
            <w:r>
              <w:rPr>
                <w:b w:val="false"/>
                <w:bCs w:val="false"/>
                <w:i w:val="false"/>
                <w:iCs w:val="false"/>
              </w:rPr>
              <w:t xml:space="preserve"> Front card body security features: guilloche, IRIS, OVMI flag, CLI, micro-text, UV, thermochromic, photonic crystal.</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front carries guilloche and numismatic backgrounds, rainbow (IRIS) printing, OVMI with the Malawi flag motif, CLI of photograph and number, micro-text including within the portrait box, relief and tactile micro-text, deliberate errors in both, an invisible UV national emblem, photonic crystal pattern elements and thermochromic ink. [CONFIRM: The card manufacturer must confirm every front feature, including the crystal pattern security background, which </w:t>
            </w:r>
            <w:r>
              <w:rPr>
                <w:b w:val="false"/>
                <w:bCs w:val="false"/>
                <w:i w:val="false"/>
                <w:iCs w:val="false"/>
              </w:rPr>
              <w:t xml:space="preserve">System Architecture Section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does not list separately from the photonic crystal elements. The Responses to Queries 04 make OVMI and thermochromic ink mandatory, with no alternatives accepted.]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Attachment: Sample card images; Attachment: Card body security feature confirmation</w:t>
            </w:r>
          </w:p>
        </w:tc>
      </w:tr>
      <w:tr>
        <w:tc>
          <w:tcPr>
            <w:tcW w:type="dxa" w:w="2000"/>
            <w:tcMar>
              <w:top w:type="dxa" w:w="60"/>
              <w:left w:type="dxa" w:w="100"/>
              <w:bottom w:type="dxa" w:w="60"/>
              <w:right w:type="dxa" w:w="100"/>
            </w:tcMar>
          </w:tcPr>
          <w:p>
            <w:pPr>
              <w:spacing w:after="0" w:before="0"/>
            </w:pPr>
            <w:r>
              <w:rPr>
                <w:b/>
                <w:bCs/>
                <w:i w:val="false"/>
                <w:iCs w:val="false"/>
              </w:rPr>
              <w:t xml:space="preserve">3.4.3</w:t>
            </w:r>
            <w:r>
              <w:rPr>
                <w:b w:val="false"/>
                <w:bCs w:val="false"/>
                <w:i w:val="false"/>
                <w:iCs w:val="false"/>
              </w:rPr>
              <w:t xml:space="preserve"> Back card body security features: rainbow, OVMI and UV map or half-sun, photonic crystal, guilloche, micro-text.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back carries a rainbow color transition, OVMI and invisible UV printing of the Malawi map or rising red half-sun symbol, guilloche security structures, micro-text and deliberate error elements. As clarified in the Responses to Queries 04, photonic crystal is required on the front, where the card carries it, and is optional on the back. [CONFIRM: </w:t>
            </w:r>
            <w:r>
              <w:rPr>
                <w:b w:val="false"/>
                <w:bCs w:val="false"/>
                <w:i w:val="false"/>
                <w:iCs w:val="false"/>
              </w:rPr>
              <w:t xml:space="preserve">System Architecture Section </w:t>
            </w:r>
            <w:fldSimple w:instr="HYPERLINK &quot;Document-5-Technical-Proposal-System-Architecture.docx&quot; \l &quot;sec_4_3&quot;">
              <w:r>
                <w:rPr>
                  <w:rStyle w:val="Hyperlink"/>
                  <w:b w:val="false"/>
                  <w:bCs w:val="false"/>
                  <w:i w:val="false"/>
                  <w:iCs w:val="false"/>
                </w:rPr>
                <w:t xml:space="preserve">4.3</w:t>
              </w:r>
            </w:fldSimple>
            <w:r>
              <w:rPr>
                <w:b w:val="false"/>
                <w:bCs w:val="false"/>
                <w:i w:val="false"/>
                <w:iCs w:val="false"/>
              </w:rPr>
              <w:t xml:space="preserve"> omits photonic crystal on the back and relies on the Responses to Queries 04. The clause itself lists it, so consider adding it if the card manufacturer offers dual-sided photonic crystal.]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and </w:t>
            </w:r>
            <w:fldSimple w:instr="HYPERLINK &quot;Document-5-Technical-Proposal-System-Architecture.docx&quot; \l &quot;sec_4_3&quot;">
              <w:r>
                <w:rPr>
                  <w:rStyle w:val="Hyperlink"/>
                  <w:b w:val="false"/>
                  <w:bCs w:val="false"/>
                  <w:i w:val="false"/>
                  <w:iCs w:val="false"/>
                </w:rPr>
                <w:t xml:space="preserve">4.3</w:t>
              </w:r>
            </w:fldSimple>
            <w:r>
              <w:rPr>
                <w:b w:val="false"/>
                <w:bCs w:val="false"/>
                <w:i w:val="false"/>
                <w:iCs w:val="false"/>
              </w:rPr>
              <w:t xml:space="preserve">; Attachment: Card body security feature confirmation</w:t>
            </w:r>
          </w:p>
        </w:tc>
      </w:tr>
      <w:tr>
        <w:tc>
          <w:tcPr>
            <w:tcW w:type="dxa" w:w="2000"/>
            <w:tcMar>
              <w:top w:type="dxa" w:w="60"/>
              <w:left w:type="dxa" w:w="100"/>
              <w:bottom w:type="dxa" w:w="60"/>
              <w:right w:type="dxa" w:w="100"/>
            </w:tcMar>
          </w:tcPr>
          <w:p>
            <w:pPr>
              <w:spacing w:after="0" w:before="0"/>
            </w:pPr>
            <w:r>
              <w:rPr>
                <w:b/>
                <w:bCs/>
                <w:i w:val="false"/>
                <w:iCs w:val="false"/>
              </w:rPr>
              <w:t xml:space="preserve">3.4.4</w:t>
            </w:r>
            <w:r>
              <w:rPr>
                <w:b w:val="false"/>
                <w:bCs w:val="false"/>
                <w:i w:val="false"/>
                <w:iCs w:val="false"/>
              </w:rPr>
              <w:t xml:space="preserve"> Personalization features: 600+ dpi portrait, stacked-layer greyscale, secondary image, CLI, micro-lettering, QR, tactile printing.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Laser engraving applies a greyscale portrait at 600 dpi or higher to ICAO photograph specifications, stacked-layer greyscale personalization, a secondary image, CLI elements, micro-lettering above 600 dpi, English and Chichewa data, and tactile laser printing. As clarified in the Responses to Queries 003, the QR code is digitally signed and carries biodata, face and fingerprints. [CONFIRM: Depends on the same manufacturer evidence as clause 3.1.3 and clause 3.2.2.1.1: the laser datasheet states no marking resolution and does not mention tactile laser printing.]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4_5&quot;">
              <w:r>
                <w:rPr>
                  <w:rStyle w:val="Hyperlink"/>
                  <w:b w:val="false"/>
                  <w:bCs w:val="false"/>
                  <w:i w:val="false"/>
                  <w:iCs w:val="false"/>
                </w:rPr>
                <w:t xml:space="preserve">4.5</w:t>
              </w:r>
            </w:fldSimple>
          </w:p>
        </w:tc>
      </w:tr>
      <w:tr>
        <w:tc>
          <w:tcPr>
            <w:tcW w:type="dxa" w:w="2000"/>
            <w:tcMar>
              <w:top w:type="dxa" w:w="60"/>
              <w:left w:type="dxa" w:w="100"/>
              <w:bottom w:type="dxa" w:w="60"/>
              <w:right w:type="dxa" w:w="100"/>
            </w:tcMar>
          </w:tcPr>
          <w:p>
            <w:pPr>
              <w:spacing w:after="0" w:before="0"/>
            </w:pPr>
            <w:r>
              <w:rPr>
                <w:b/>
                <w:bCs/>
                <w:i w:val="false"/>
                <w:iCs w:val="false"/>
              </w:rPr>
              <w:t xml:space="preserve">3.4.5.1</w:t>
            </w:r>
            <w:r>
              <w:rPr>
                <w:b w:val="false"/>
                <w:bCs w:val="false"/>
                <w:i w:val="false"/>
                <w:iCs w:val="false"/>
              </w:rPr>
              <w:t xml:space="preserve"> Sample images of blank and personalized cards, front and back, at bid and during production testing.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Images of the blank front, blank back, personalized front and personalized back, showing the layout, design and security features, are included in the proposal and submitted again from pilot production. As clarified in the Responses to Queries 04, at least two physical sample cards are also included with the proposal. [CONFIRM: Images and physical samples must be obtained from the card manufacturer. The final Malawi design is agreed after award under the Clarifications to Queries 005, so the bid images show a representative design.]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4_7&quot;">
              <w:r>
                <w:rPr>
                  <w:rStyle w:val="Hyperlink"/>
                  <w:b w:val="false"/>
                  <w:bCs w:val="false"/>
                  <w:i w:val="false"/>
                  <w:iCs w:val="false"/>
                </w:rPr>
                <w:t xml:space="preserve">4.7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Attachment: Sample card images</w:t>
            </w:r>
          </w:p>
        </w:tc>
      </w:tr>
      <w:tr>
        <w:tc>
          <w:tcPr>
            <w:tcW w:type="dxa" w:w="2000"/>
            <w:tcMar>
              <w:top w:type="dxa" w:w="60"/>
              <w:left w:type="dxa" w:w="100"/>
              <w:bottom w:type="dxa" w:w="60"/>
              <w:right w:type="dxa" w:w="100"/>
            </w:tcMar>
          </w:tcPr>
          <w:p>
            <w:pPr>
              <w:spacing w:after="0" w:before="0"/>
            </w:pPr>
            <w:r>
              <w:rPr>
                <w:b/>
                <w:bCs/>
                <w:i w:val="false"/>
                <w:iCs w:val="false"/>
              </w:rPr>
              <w:t xml:space="preserve">3.4.6.1</w:t>
            </w:r>
            <w:r>
              <w:rPr>
                <w:b w:val="false"/>
                <w:bCs w:val="false"/>
                <w:i w:val="false"/>
                <w:iCs w:val="false"/>
              </w:rPr>
              <w:t xml:space="preserve"> Laboratory test reports for ISO 24789, ISO 10373 and ISO 7810, covering fourteen named tests.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04, not fewer than two laboratory test reports are provided, dated within three years, from an independent international laboratory holding ISO/IEC 17025 accreditation, covering all fourteen named tests against ISO/IEC 7810, ISO/IEC 10373-1 and ISO/IEC 24789. Supplier-provided testing is on cards of six or more fully fused layers without adhesives. [CONFIRM: Reports must be obtained from the card manufacturer and checked to cover all fourteen tests within three years. The Responses to Queries 04 accept redacted reports and require a laboratory holding government mandates for national ID.]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Document-5-Technical-Proposal-System-Architecture.docx&quot; \l &quot;sec_4_6&quot;">
              <w:r>
                <w:rPr>
                  <w:rStyle w:val="Hyperlink"/>
                  <w:b w:val="false"/>
                  <w:bCs w:val="false"/>
                  <w:i w:val="false"/>
                  <w:iCs w:val="false"/>
                </w:rPr>
                <w:t xml:space="preserve">4.6</w:t>
              </w:r>
            </w:fldSimple>
            <w:r>
              <w:rPr>
                <w:b w:val="false"/>
                <w:bCs w:val="false"/>
                <w:i w:val="false"/>
                <w:iCs w:val="false"/>
              </w:rPr>
              <w:t xml:space="preserve">; Attachment: Card manufacturer laboratory test reports</w:t>
            </w:r>
          </w:p>
        </w:tc>
      </w:tr>
    </w:tbl>
    <w:p>
      <w:pPr>
        <w:spacing w:after="140"/>
      </w:pPr>
    </w:p>
    <w:p>
      <w:pPr>
        <w:pStyle w:val="Heading2"/>
        <w:numPr>
          <w:ilvl w:val="1"/>
          <w:numId w:val="2"/>
        </w:numPr>
        <w:spacing w:after="140" w:before="260"/>
      </w:pPr>
      <w:r>
        <w:t xml:space="preserve">R</w:t>
      </w:r>
      <w:bookmarkStart w:name="sec_3_5" w:id="1"/>
      <w:r>
        <w:rPr>
          <w:b w:val="false"/>
          <w:bCs w:val="false"/>
          <w:i w:val="false"/>
          <w:iCs w:val="false"/>
        </w:rPr>
        <w:t xml:space="preserve">enovation of premises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3.5.1.1</w:t>
            </w:r>
            <w:r>
              <w:rPr>
                <w:b w:val="false"/>
                <w:bCs w:val="false"/>
                <w:i w:val="false"/>
                <w:iCs w:val="false"/>
              </w:rPr>
              <w:t xml:space="preserve"> Renovate premises into a secure, compliant, production-ready center for personalization and mailing systems.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Inkript renovates the designated ground floor area into a secure, production-ready facility for both personalization lines and both mailing lines, delivered under the facility works by a CIRA-registered rehabilitation contractor in weeks 7 to 18. As clarified in the Responses to Queries 04, the design relies on no existing electrical, HVAC, ICT or security infrastructure. [GAP: The four proposal documents defer this to 'the facility works', which has no document of its own, and none of them names the CIRA-registered contractor. A facility works plan covering every clause 3.5 item is needed for this and the following renovation rows.]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Attachment: CIRA registration certificate</w:t>
            </w:r>
          </w:p>
        </w:tc>
      </w:tr>
      <w:tr>
        <w:tc>
          <w:tcPr>
            <w:tcW w:type="dxa" w:w="2110"/>
            <w:tcMar>
              <w:top w:type="dxa" w:w="60"/>
              <w:left w:type="dxa" w:w="100"/>
              <w:bottom w:type="dxa" w:w="60"/>
              <w:right w:type="dxa" w:w="100"/>
            </w:tcMar>
          </w:tcPr>
          <w:p>
            <w:pPr>
              <w:spacing w:after="0" w:before="0"/>
            </w:pPr>
            <w:r>
              <w:rPr>
                <w:b/>
                <w:bCs/>
                <w:i w:val="false"/>
                <w:iCs w:val="false"/>
              </w:rPr>
              <w:t xml:space="preserve">3.5.1.2</w:t>
            </w:r>
            <w:r>
              <w:rPr>
                <w:b w:val="false"/>
                <w:bCs w:val="false"/>
                <w:i w:val="false"/>
                <w:iCs w:val="false"/>
              </w:rPr>
              <w:t xml:space="preserve"> All renovation, fit-out, installation, testing, commissioning and handover works for a turnkey facility.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cover renovation, refurbishment, fit-out, supply, installation, testing, commissioning and handover of the facility systems, scheduled as phase 4 of the implementation plan. They are coordinated with the Information System through the ICT Site Preparation Guide, a readiness inspection in week 18 and building-level checks in pre-commissioning. [GAP: The four proposal documents defer this to 'the facility works', which has no document of its own. No facility works method or scope statement exists in the proposal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w:t>
            </w:r>
            <w:fldSimple w:instr="HYPERLINK &quot;Preliminary-Project-Plan-Information-System-Sub-Plans.docx&quot; \l &quot;sec_2_9&quot;">
              <w:r>
                <w:rPr>
                  <w:rStyle w:val="Hyperlink"/>
                  <w:b w:val="false"/>
                  <w:bCs w:val="false"/>
                  <w:i w:val="false"/>
                  <w:iCs w:val="false"/>
                </w:rPr>
                <w:t xml:space="preserve">2.9</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p>
        </w:tc>
      </w:tr>
      <w:tr>
        <w:tc>
          <w:tcPr>
            <w:tcW w:type="dxa" w:w="2110"/>
            <w:tcMar>
              <w:top w:type="dxa" w:w="60"/>
              <w:left w:type="dxa" w:w="100"/>
              <w:bottom w:type="dxa" w:w="60"/>
              <w:right w:type="dxa" w:w="100"/>
            </w:tcMar>
          </w:tcPr>
          <w:p>
            <w:pPr>
              <w:spacing w:after="0" w:before="0"/>
            </w:pPr>
            <w:r>
              <w:rPr>
                <w:b/>
                <w:bCs/>
                <w:i w:val="false"/>
                <w:iCs w:val="false"/>
              </w:rPr>
              <w:t xml:space="preserve">3.5.2.1</w:t>
            </w:r>
            <w:r>
              <w:rPr>
                <w:b w:val="false"/>
                <w:bCs w:val="false"/>
                <w:i w:val="false"/>
                <w:iCs w:val="false"/>
              </w:rPr>
              <w:t xml:space="preserve"> Site survey: dimensions, infrastructure, structure, electrical load, environment, renovation needs and drawings.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Under the facility works, a site survey verifies dimensions, structural suitability, electrical load capacity and environmental conditions, identifies renovation requirements and leads to implementation drawings and designs, with the ICT Site Preparation Guide setting loads, power, heat and clearances. As clarified in the Responses to Queries 003, NRB coordinates Buildings Department approval of the structural and electrical designs. [GAP: Only equipment positions, delivery routes and the ICT Site Preparation Guide are described. The structural, electrical load and environmental assessments and the implementation drawings are not. As clarified in the Responses to Queries 04, the ground floor plan is provided and a further site visit may be arranged.]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3&quot;">
              <w:r>
                <w:rPr>
                  <w:rStyle w:val="Hyperlink"/>
                  <w:b w:val="false"/>
                  <w:bCs w:val="false"/>
                  <w:i w:val="false"/>
                  <w:iCs w:val="false"/>
                </w:rPr>
                <w:t xml:space="preserve">2.3</w:t>
              </w:r>
            </w:fldSimple>
            <w:r>
              <w:rPr>
                <w:b w:val="false"/>
                <w:bCs w:val="false"/>
                <w:i w:val="false"/>
                <w:iCs w:val="false"/>
              </w:rPr>
              <w:t xml:space="preserve"> and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2110"/>
            <w:tcMar>
              <w:top w:type="dxa" w:w="60"/>
              <w:left w:type="dxa" w:w="100"/>
              <w:bottom w:type="dxa" w:w="60"/>
              <w:right w:type="dxa" w:w="100"/>
            </w:tcMar>
          </w:tcPr>
          <w:p>
            <w:pPr>
              <w:spacing w:after="0" w:before="0"/>
            </w:pPr>
            <w:r>
              <w:rPr>
                <w:b/>
                <w:bCs/>
                <w:i w:val="false"/>
                <w:iCs w:val="false"/>
              </w:rPr>
              <w:t xml:space="preserve">3.5.3.1.1</w:t>
            </w:r>
            <w:r>
              <w:rPr>
                <w:b w:val="false"/>
                <w:bCs w:val="false"/>
                <w:i w:val="false"/>
                <w:iCs w:val="false"/>
              </w:rPr>
              <w:t xml:space="preserve"> Internal refurbishment: partitions, finishes, soundproofing, ceilings, anti-static and raised floors, doors, windows.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carry out partitioning, wall finishing and painting, soundproofing, ceiling and floor finishing, anti-static and raised flooring where required, door installation and replacement, and window reinforcement, all to the approved room layout. Raised floor records are delivered with the facility documentation. [GAP: The four proposal documents defer this to 'the facility works', which has no document of its own. Only raised floor records are mentioned. The refurbishment items need describing in the facility works plan.]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and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Attachment: CIRA registration certificate</w:t>
            </w:r>
          </w:p>
        </w:tc>
      </w:tr>
      <w:tr>
        <w:tc>
          <w:tcPr>
            <w:tcW w:type="dxa" w:w="2110"/>
            <w:tcMar>
              <w:top w:type="dxa" w:w="60"/>
              <w:left w:type="dxa" w:w="100"/>
              <w:bottom w:type="dxa" w:w="60"/>
              <w:right w:type="dxa" w:w="100"/>
            </w:tcMar>
          </w:tcPr>
          <w:p>
            <w:pPr>
              <w:spacing w:after="0" w:before="0"/>
            </w:pPr>
            <w:r>
              <w:rPr>
                <w:b/>
                <w:bCs/>
                <w:i w:val="false"/>
                <w:iCs w:val="false"/>
              </w:rPr>
              <w:t xml:space="preserve">3.5.3.1.2</w:t>
            </w:r>
            <w:r>
              <w:rPr>
                <w:b w:val="false"/>
                <w:bCs w:val="false"/>
                <w:i w:val="false"/>
                <w:iCs w:val="false"/>
              </w:rPr>
              <w:t xml:space="preserve"> Construct secure areas: personalization, blank card store, consumables, QA, destruction, mailing, server and control rooms.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Separated secure areas are built for card personalization, blank card storage sized for all 2,000,000 cards, consumables storage, quality assurance, secure destruction, packaging and mailing, the server room, the control room and operator workspaces, so that stock reconciliation rests on physically controlled custody. [GAP: </w:t>
            </w: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names the blank card store, personalization, data processing and destruction areas, and </w:t>
            </w:r>
            <w:r>
              <w:rPr>
                <w:b w:val="false"/>
                <w:bCs w:val="false"/>
                <w:i w:val="false"/>
                <w:iCs w:val="false"/>
              </w:rPr>
              <w:t xml:space="preserve">System Architecture Section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the control room. The consumables store, quality assurance room, packaging and mailing room and operator workspaces are not named.]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7&quot;">
              <w:r>
                <w:rPr>
                  <w:rStyle w:val="Hyperlink"/>
                  <w:b w:val="false"/>
                  <w:bCs w:val="false"/>
                  <w:i w:val="false"/>
                  <w:iCs w:val="false"/>
                </w:rPr>
                <w:t xml:space="preserve">2.7</w:t>
              </w:r>
            </w:fldSimple>
          </w:p>
        </w:tc>
      </w:tr>
      <w:tr>
        <w:tc>
          <w:tcPr>
            <w:tcW w:type="dxa" w:w="2110"/>
            <w:tcMar>
              <w:top w:type="dxa" w:w="60"/>
              <w:left w:type="dxa" w:w="100"/>
              <w:bottom w:type="dxa" w:w="60"/>
              <w:right w:type="dxa" w:w="100"/>
            </w:tcMar>
          </w:tcPr>
          <w:p>
            <w:pPr>
              <w:spacing w:after="0" w:before="0"/>
            </w:pPr>
            <w:r>
              <w:rPr>
                <w:b/>
                <w:bCs/>
                <w:i w:val="false"/>
                <w:iCs w:val="false"/>
              </w:rPr>
              <w:t xml:space="preserve">3.5.3.1.3</w:t>
            </w:r>
            <w:r>
              <w:rPr>
                <w:b w:val="false"/>
                <w:bCs w:val="false"/>
                <w:i w:val="false"/>
                <w:iCs w:val="false"/>
              </w:rPr>
              <w:t xml:space="preserve"> Physical reinforcement: burglar-proofing, reinforced doors, secure locks, security cages, vaults.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install burglar-proofing, reinforced doors, secure locks, security cages and secure storage installations for the blank card store and the destruction area, with entry under biometric access control and every opening logged and correlated with system activity. [GAP: The four proposal documents defer this to 'the facility works', which has no document of its own. Physical reinforcement is not described.]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Cybersecurity-Risk-Management-Plan.docx&quot; \l &quot;sec_10&quot;">
              <w:r>
                <w:rPr>
                  <w:rStyle w:val="Hyperlink"/>
                  <w:b w:val="false"/>
                  <w:bCs w:val="false"/>
                  <w:i w:val="false"/>
                  <w:iCs w:val="false"/>
                </w:rPr>
                <w:t xml:space="preserve">10</w:t>
              </w:r>
            </w:fldSimple>
          </w:p>
        </w:tc>
      </w:tr>
      <w:tr>
        <w:tc>
          <w:tcPr>
            <w:tcW w:type="dxa" w:w="2110"/>
            <w:tcMar>
              <w:top w:type="dxa" w:w="60"/>
              <w:left w:type="dxa" w:w="100"/>
              <w:bottom w:type="dxa" w:w="60"/>
              <w:right w:type="dxa" w:w="100"/>
            </w:tcMar>
          </w:tcPr>
          <w:p>
            <w:pPr>
              <w:spacing w:after="0" w:before="0"/>
            </w:pPr>
            <w:r>
              <w:rPr>
                <w:b/>
                <w:bCs/>
                <w:i w:val="false"/>
                <w:iCs w:val="false"/>
              </w:rPr>
              <w:t xml:space="preserve">3.5.4.1</w:t>
            </w:r>
            <w:r>
              <w:rPr>
                <w:b w:val="false"/>
                <w:bCs w:val="false"/>
                <w:i w:val="false"/>
                <w:iCs w:val="false"/>
              </w:rPr>
              <w:t xml:space="preserve"> Complete electrical infrastructure: circuits, boards, protection, earthing, lightning protection, outlets, emergency lighting.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new electrical installation provides dedicated circuits, distribution boards, protection, isolators and breakers, earthing, lightning protection, outlets, cable management and emergency lighting, with UPS sized for production and server loads and generator support with automatic transfer. As clarified in the Responses to Queries 04, NRB supplies a dedicated power connection to the approved design. [GAP: Only UPS, generator, power distribution and grounding are described. Rewiring, protection devices, lightning protection and emergency lighting need describing in the facility works plan.]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7&quot;">
              <w:r>
                <w:rPr>
                  <w:rStyle w:val="Hyperlink"/>
                  <w:b w:val="false"/>
                  <w:bCs w:val="false"/>
                  <w:i w:val="false"/>
                  <w:iCs w:val="false"/>
                </w:rPr>
                <w:t xml:space="preserve">2.7</w:t>
              </w:r>
            </w:fldSimple>
          </w:p>
        </w:tc>
      </w:tr>
      <w:tr>
        <w:tc>
          <w:tcPr>
            <w:tcW w:type="dxa" w:w="2110"/>
            <w:tcMar>
              <w:top w:type="dxa" w:w="60"/>
              <w:left w:type="dxa" w:w="100"/>
              <w:bottom w:type="dxa" w:w="60"/>
              <w:right w:type="dxa" w:w="100"/>
            </w:tcMar>
          </w:tcPr>
          <w:p>
            <w:pPr>
              <w:spacing w:after="0" w:before="0"/>
            </w:pPr>
            <w:r>
              <w:rPr>
                <w:b/>
                <w:bCs/>
                <w:i w:val="false"/>
                <w:iCs w:val="false"/>
              </w:rPr>
              <w:t xml:space="preserve">3.5.5.1</w:t>
            </w:r>
            <w:r>
              <w:rPr>
                <w:b w:val="false"/>
                <w:bCs w:val="false"/>
                <w:i w:val="false"/>
                <w:iCs w:val="false"/>
              </w:rPr>
              <w:t xml:space="preserve"> HVAC: precision cooling, air conditioning, ventilation, humidity control, monitoring, sensors, air filtration.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New HVAC provides air conditioning, ventilation and humidity control holding the production and secure areas at 18 to 27 degrees Celsius and 40 to 60 percent humidity, precision cooling for the server and personalization rooms, air filtration to the dust limit, and temperature and humidity sensors feeding monitoring with threshold alerts.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110"/>
            <w:tcMar>
              <w:top w:type="dxa" w:w="60"/>
              <w:left w:type="dxa" w:w="100"/>
              <w:bottom w:type="dxa" w:w="60"/>
              <w:right w:type="dxa" w:w="100"/>
            </w:tcMar>
          </w:tcPr>
          <w:p>
            <w:pPr>
              <w:spacing w:after="0" w:before="0"/>
            </w:pPr>
            <w:r>
              <w:rPr>
                <w:b/>
                <w:bCs/>
                <w:i w:val="false"/>
                <w:iCs w:val="false"/>
              </w:rPr>
              <w:t xml:space="preserve">3.5.6.1</w:t>
            </w:r>
            <w:r>
              <w:rPr>
                <w:b w:val="false"/>
                <w:bCs w:val="false"/>
                <w:i w:val="false"/>
                <w:iCs w:val="false"/>
              </w:rPr>
              <w:t xml:space="preserve"> Structured ICT cabling: LAN, fiber, racks, patch panels, trays, outlets, labeling, data center racks.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Structured LAN cabling, fiber where required, network cabinets and racks with rack power distribution, patch panels, cable trays and conduits, network outlets and labeling are installed to the approved room layout, with data center rack arrangements in the server room. Cable management and labeling are verified in pre-commissioning. [GAP: Fiber cabling, cable trays, conduits and network outlets are not described in the proposal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and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p>
        </w:tc>
      </w:tr>
      <w:tr>
        <w:tc>
          <w:tcPr>
            <w:tcW w:type="dxa" w:w="2110"/>
            <w:tcMar>
              <w:top w:type="dxa" w:w="60"/>
              <w:left w:type="dxa" w:w="100"/>
              <w:bottom w:type="dxa" w:w="60"/>
              <w:right w:type="dxa" w:w="100"/>
            </w:tcMar>
          </w:tcPr>
          <w:p>
            <w:pPr>
              <w:spacing w:after="0" w:before="0"/>
            </w:pPr>
            <w:r>
              <w:rPr>
                <w:b/>
                <w:bCs/>
                <w:i w:val="false"/>
                <w:iCs w:val="false"/>
              </w:rPr>
              <w:t xml:space="preserve">3.5.6.2</w:t>
            </w:r>
            <w:r>
              <w:rPr>
                <w:b w:val="false"/>
                <w:bCs w:val="false"/>
                <w:i w:val="false"/>
                <w:iCs w:val="false"/>
              </w:rPr>
              <w:t xml:space="preserve"> All cabling complies with internationally recognized standards.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All structured cabling is designed, installed, labeled and tested to internationally recognized structured cabling standards, and the cabling records are delivered with the facility documentation. Connectivity, throughput and redundancy are verified in the network infrastructure pre-commissioning test. [GAP: No cabling standard is named. Name the standards in the facility works plan, for example ISO/IEC 11801 or ANSI/TIA-568.]</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p>
        </w:tc>
      </w:tr>
      <w:tr>
        <w:tc>
          <w:tcPr>
            <w:tcW w:type="dxa" w:w="2110"/>
            <w:tcMar>
              <w:top w:type="dxa" w:w="60"/>
              <w:left w:type="dxa" w:w="100"/>
              <w:bottom w:type="dxa" w:w="60"/>
              <w:right w:type="dxa" w:w="100"/>
            </w:tcMar>
          </w:tcPr>
          <w:p>
            <w:pPr>
              <w:spacing w:after="0" w:before="0"/>
            </w:pPr>
            <w:r>
              <w:rPr>
                <w:b/>
                <w:bCs/>
                <w:i w:val="false"/>
                <w:iCs w:val="false"/>
              </w:rPr>
              <w:t xml:space="preserve">3.5.7.1.1</w:t>
            </w:r>
            <w:r>
              <w:rPr>
                <w:b w:val="false"/>
                <w:bCs w:val="false"/>
                <w:i w:val="false"/>
                <w:iCs w:val="false"/>
              </w:rPr>
              <w:t xml:space="preserve"> Access control: biometric, smart card, role-based zones and access logging.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Biometric access control, with smart card credentials, enforces role-based access zones for the server room, production area and secure stores, and every entry, including escorted visitors, is logged. Access events feed security monitoring, so a privileged session opened from a room no authorized person has entered raises an alert. [GAP: Smart card access and role-based zones are not described in the proposal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0&quot;">
              <w:r>
                <w:rPr>
                  <w:rStyle w:val="Hyperlink"/>
                  <w:b w:val="false"/>
                  <w:bCs w:val="false"/>
                  <w:i w:val="false"/>
                  <w:iCs w:val="false"/>
                </w:rPr>
                <w:t xml:space="preserve">10</w:t>
              </w:r>
            </w:fldSimple>
          </w:p>
        </w:tc>
      </w:tr>
      <w:tr>
        <w:tc>
          <w:tcPr>
            <w:tcW w:type="dxa" w:w="2110"/>
            <w:tcMar>
              <w:top w:type="dxa" w:w="60"/>
              <w:left w:type="dxa" w:w="100"/>
              <w:bottom w:type="dxa" w:w="60"/>
              <w:right w:type="dxa" w:w="100"/>
            </w:tcMar>
          </w:tcPr>
          <w:p>
            <w:pPr>
              <w:spacing w:after="0" w:before="0"/>
            </w:pPr>
            <w:r>
              <w:rPr>
                <w:b/>
                <w:bCs/>
                <w:i w:val="false"/>
                <w:iCs w:val="false"/>
              </w:rPr>
              <w:t xml:space="preserve">3.5.7.1.2</w:t>
            </w:r>
            <w:r>
              <w:rPr>
                <w:b w:val="false"/>
                <w:bCs w:val="false"/>
                <w:i w:val="false"/>
                <w:iCs w:val="false"/>
              </w:rPr>
              <w:t xml:space="preserve"> CCTV: internal and external cameras, recording, centralized monitoring, long-term storage.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Internal and external closed circuit television cameras cover the production area, secure stores, server room and perimeter, recording to a video recording system with centralized monitoring and long-term storage under a defined retention period. [GAP: </w:t>
            </w: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states only closed circuit television with defined retention. Camera coverage, recording, monitoring and the retention period need specifying.]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p>
        </w:tc>
      </w:tr>
      <w:tr>
        <w:tc>
          <w:tcPr>
            <w:tcW w:type="dxa" w:w="2110"/>
            <w:tcMar>
              <w:top w:type="dxa" w:w="60"/>
              <w:left w:type="dxa" w:w="100"/>
              <w:bottom w:type="dxa" w:w="60"/>
              <w:right w:type="dxa" w:w="100"/>
            </w:tcMar>
          </w:tcPr>
          <w:p>
            <w:pPr>
              <w:spacing w:after="0" w:before="0"/>
            </w:pPr>
            <w:r>
              <w:rPr>
                <w:b/>
                <w:bCs/>
                <w:i w:val="false"/>
                <w:iCs w:val="false"/>
              </w:rPr>
              <w:t xml:space="preserve">3.5.7.1.3</w:t>
            </w:r>
            <w:r>
              <w:rPr>
                <w:b w:val="false"/>
                <w:bCs w:val="false"/>
                <w:i w:val="false"/>
                <w:iCs w:val="false"/>
              </w:rPr>
              <w:t xml:space="preserve"> Intrusion detection: motion sensors, door sensors, alarm and panic alarm systems.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Intrusion detection with motion sensors, door sensors, alarm systems and panic alarms is installed across the facility, and intrusion alarm events feed the security information and event management system for correlation with system events. [GAP: Sensor types and panic alarms are not described in the proposal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0&quot;">
              <w:r>
                <w:rPr>
                  <w:rStyle w:val="Hyperlink"/>
                  <w:b w:val="false"/>
                  <w:bCs w:val="false"/>
                  <w:i w:val="false"/>
                  <w:iCs w:val="false"/>
                </w:rPr>
                <w:t xml:space="preserve">10</w:t>
              </w:r>
            </w:fldSimple>
          </w:p>
        </w:tc>
      </w:tr>
      <w:tr>
        <w:tc>
          <w:tcPr>
            <w:tcW w:type="dxa" w:w="2110"/>
            <w:tcMar>
              <w:top w:type="dxa" w:w="60"/>
              <w:left w:type="dxa" w:w="100"/>
              <w:bottom w:type="dxa" w:w="60"/>
              <w:right w:type="dxa" w:w="100"/>
            </w:tcMar>
          </w:tcPr>
          <w:p>
            <w:pPr>
              <w:spacing w:after="0" w:before="0"/>
            </w:pPr>
            <w:r>
              <w:rPr>
                <w:b/>
                <w:bCs/>
                <w:i w:val="false"/>
                <w:iCs w:val="false"/>
              </w:rPr>
              <w:t xml:space="preserve">3.5.7.1.4</w:t>
            </w:r>
            <w:r>
              <w:rPr>
                <w:b w:val="false"/>
                <w:bCs w:val="false"/>
                <w:i w:val="false"/>
                <w:iCs w:val="false"/>
              </w:rPr>
              <w:t xml:space="preserve"> Security monitoring: centralized console, audit trail generation and event logging.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security console in the control room presents alerts and dashboards from the security information and event management system, which collects physical access control, intrusion alarm and environmental events alongside system events. Audit records are written to tamper-proof storage, and all events are logged against a common time source.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0&quot;">
              <w:r>
                <w:rPr>
                  <w:rStyle w:val="Hyperlink"/>
                  <w:b w:val="false"/>
                  <w:bCs w:val="false"/>
                  <w:i w:val="false"/>
                  <w:iCs w:val="false"/>
                </w:rPr>
                <w:t xml:space="preserve">10</w:t>
              </w:r>
            </w:fldSimple>
          </w:p>
        </w:tc>
      </w:tr>
      <w:tr>
        <w:tc>
          <w:tcPr>
            <w:tcW w:type="dxa" w:w="2110"/>
            <w:tcMar>
              <w:top w:type="dxa" w:w="60"/>
              <w:left w:type="dxa" w:w="100"/>
              <w:bottom w:type="dxa" w:w="60"/>
              <w:right w:type="dxa" w:w="100"/>
            </w:tcMar>
          </w:tcPr>
          <w:p>
            <w:pPr>
              <w:spacing w:after="0" w:before="0"/>
            </w:pPr>
            <w:r>
              <w:rPr>
                <w:b/>
                <w:bCs/>
                <w:i w:val="false"/>
                <w:iCs w:val="false"/>
              </w:rPr>
              <w:t xml:space="preserve">3.5.8.1</w:t>
            </w:r>
            <w:r>
              <w:rPr>
                <w:b w:val="false"/>
                <w:bCs w:val="false"/>
                <w:i w:val="false"/>
                <w:iCs w:val="false"/>
              </w:rPr>
              <w:t xml:space="preserve"> Fire protection: detection, smoke and heat detectors, alarms, extinguishers, clean agent suppression, evacuation signage.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Fire detection, with smoke and heat detectors and fire alarms, covers the whole facility. Clean agent suppression protects the server room, suppression appropriate to a production area and fire extinguishers serve elsewhere, and emergency evacuation signage is installed. [GAP: Detector types, extinguishers and evacuation signage are not described in the proposal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p>
        </w:tc>
      </w:tr>
      <w:tr>
        <w:tc>
          <w:tcPr>
            <w:tcW w:type="dxa" w:w="2110"/>
            <w:tcMar>
              <w:top w:type="dxa" w:w="60"/>
              <w:left w:type="dxa" w:w="100"/>
              <w:bottom w:type="dxa" w:w="60"/>
              <w:right w:type="dxa" w:w="100"/>
            </w:tcMar>
          </w:tcPr>
          <w:p>
            <w:pPr>
              <w:spacing w:after="0" w:before="0"/>
            </w:pPr>
            <w:r>
              <w:rPr>
                <w:b/>
                <w:bCs/>
                <w:i w:val="false"/>
                <w:iCs w:val="false"/>
              </w:rPr>
              <w:t xml:space="preserve">3.5.8.2</w:t>
            </w:r>
            <w:r>
              <w:rPr>
                <w:b w:val="false"/>
                <w:bCs w:val="false"/>
                <w:i w:val="false"/>
                <w:iCs w:val="false"/>
              </w:rPr>
              <w:t xml:space="preserve"> Fire systems comply with relevant fire safety standards.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Fire detection, alarm and suppression systems are designed, installed and tested to the fire safety standards applicable in Malawi and to recognized international standards for detection and clean agent suppression, with fire suppression records delivered with the facility documentation. [GAP: No fire safety standard is named. Name them in the facility works plan, for example NFPA 72 and NFPA 2001 or the BS EN equivalents.]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p>
        </w:tc>
      </w:tr>
      <w:tr>
        <w:tc>
          <w:tcPr>
            <w:tcW w:type="dxa" w:w="2110"/>
            <w:tcMar>
              <w:top w:type="dxa" w:w="60"/>
              <w:left w:type="dxa" w:w="100"/>
              <w:bottom w:type="dxa" w:w="60"/>
              <w:right w:type="dxa" w:w="100"/>
            </w:tcMar>
          </w:tcPr>
          <w:p>
            <w:pPr>
              <w:spacing w:after="0" w:before="0"/>
            </w:pPr>
            <w:r>
              <w:rPr>
                <w:b/>
                <w:bCs/>
                <w:i w:val="false"/>
                <w:iCs w:val="false"/>
              </w:rPr>
              <w:t xml:space="preserve">3.5.9.1</w:t>
            </w:r>
            <w:r>
              <w:rPr>
                <w:b w:val="false"/>
                <w:bCs w:val="false"/>
                <w:i w:val="false"/>
                <w:iCs w:val="false"/>
              </w:rPr>
              <w:t xml:space="preserve"> Fit-out: workstations, ergonomic furniture, line layout, equipment positions, QC and consumables stations, waste disposal.</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production floor is fitted out to the approved layout, with equipment positions and clearances set in the ICT Site Preparation Guide, operator workstations with ergonomic furniture, quality control and consumables handling stations, and secure waste disposal through the controlled destruction area under dual custody. [GAP: Ergonomic furniture and the quality control and consumables handling stations are not described.]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9_4&quot;">
              <w:r>
                <w:rPr>
                  <w:rStyle w:val="Hyperlink"/>
                  <w:b w:val="false"/>
                  <w:bCs w:val="false"/>
                  <w:i w:val="false"/>
                  <w:iCs w:val="false"/>
                </w:rPr>
                <w:t xml:space="preserve">9.4</w:t>
              </w:r>
            </w:fldSimple>
          </w:p>
        </w:tc>
      </w:tr>
      <w:tr>
        <w:tc>
          <w:tcPr>
            <w:tcW w:type="dxa" w:w="2110"/>
            <w:tcMar>
              <w:top w:type="dxa" w:w="60"/>
              <w:left w:type="dxa" w:w="100"/>
              <w:bottom w:type="dxa" w:w="60"/>
              <w:right w:type="dxa" w:w="100"/>
            </w:tcMar>
          </w:tcPr>
          <w:p>
            <w:pPr>
              <w:spacing w:after="0" w:before="0"/>
            </w:pPr>
            <w:r>
              <w:rPr>
                <w:b/>
                <w:bCs/>
                <w:i w:val="false"/>
                <w:iCs w:val="false"/>
              </w:rPr>
              <w:t xml:space="preserve">3.5.10.1</w:t>
            </w:r>
            <w:r>
              <w:rPr>
                <w:b w:val="false"/>
                <w:bCs w:val="false"/>
                <w:i w:val="false"/>
                <w:iCs w:val="false"/>
              </w:rPr>
              <w:t xml:space="preserve"> Health, safety and environmental compliance, waste disposal and hazard management during renovation.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Renovation is carried out under the Occupational Health and Safety Plan, the Environmental and Social Management Plan and the Waste Management Plan submitted with the proposal, covering safe working practices, environmental compliance, segregation and disposal of construction, electronic and hazardous waste, and hazard management during the works. [GAP: These plans are mandatory under PDS ITP 11.2(j) but are not in the repository. Prepare them and make sure they cover the renovation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Occupational Health and Safety Plan; Attachment: Environmental and Social Management Plan; Attachment: Waste Management Plan; </w:t>
            </w:r>
            <w:r>
              <w:rPr>
                <w:b w:val="false"/>
                <w:bCs w:val="false"/>
                <w:i w:val="false"/>
                <w:iCs w:val="false"/>
              </w:rPr>
              <w:t xml:space="preserve">System Architecture Section </w:t>
            </w:r>
            <w:fldSimple w:instr="HYPERLINK &quot;Document-5-Technical-Proposal-System-Architecture.docx&quot; \l &quot;sec_10_8&quot;">
              <w:r>
                <w:rPr>
                  <w:rStyle w:val="Hyperlink"/>
                  <w:b w:val="false"/>
                  <w:bCs w:val="false"/>
                  <w:i w:val="false"/>
                  <w:iCs w:val="false"/>
                </w:rPr>
                <w:t xml:space="preserve">10.8</w:t>
              </w:r>
            </w:fldSimple>
          </w:p>
        </w:tc>
      </w:tr>
      <w:tr>
        <w:tc>
          <w:tcPr>
            <w:tcW w:type="dxa" w:w="2110"/>
            <w:tcMar>
              <w:top w:type="dxa" w:w="60"/>
              <w:left w:type="dxa" w:w="100"/>
              <w:bottom w:type="dxa" w:w="60"/>
              <w:right w:type="dxa" w:w="100"/>
            </w:tcMar>
          </w:tcPr>
          <w:p>
            <w:pPr>
              <w:spacing w:after="0" w:before="0"/>
            </w:pPr>
            <w:r>
              <w:rPr>
                <w:b/>
                <w:bCs/>
                <w:i w:val="false"/>
                <w:iCs w:val="false"/>
              </w:rPr>
              <w:t xml:space="preserve">3.5.11.1</w:t>
            </w:r>
            <w:r>
              <w:rPr>
                <w:b w:val="false"/>
                <w:bCs w:val="false"/>
                <w:i w:val="false"/>
                <w:iCs w:val="false"/>
              </w:rPr>
              <w:t xml:space="preserve"> Test and commission all facility systems, including integrated, load and operational readiness testing.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Electrical, HVAC, environmental, fire and physical security systems are tested and commissioned under the facility works. The Pre-Commissioning Test Program, as amended by Addendum No. 2, then covers network and cabling, access control, production workflow simulation, performance and capacity under load, and pilot production readiness, followed by the operational acceptance tests. [GAP: The electrical power and environmental systems tests of Table A are marked as performed under the facility works, with no test plan in the proposal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r>
        <w:tc>
          <w:tcPr>
            <w:tcW w:type="dxa" w:w="2110"/>
            <w:tcMar>
              <w:top w:type="dxa" w:w="60"/>
              <w:left w:type="dxa" w:w="100"/>
              <w:bottom w:type="dxa" w:w="60"/>
              <w:right w:type="dxa" w:w="100"/>
            </w:tcMar>
          </w:tcPr>
          <w:p>
            <w:pPr>
              <w:spacing w:after="0" w:before="0"/>
            </w:pPr>
            <w:r>
              <w:rPr>
                <w:b/>
                <w:bCs/>
                <w:i w:val="false"/>
                <w:iCs w:val="false"/>
              </w:rPr>
              <w:t xml:space="preserve">3.5.12.1</w:t>
            </w:r>
            <w:r>
              <w:rPr>
                <w:b w:val="false"/>
                <w:bCs w:val="false"/>
                <w:i w:val="false"/>
                <w:iCs w:val="false"/>
              </w:rPr>
              <w:t xml:space="preserve"> Provide as-built drawings, test reports, manuals, warranties, configuration documents and maintenance schedules.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As-built documentation, test reports, equipment and maintenance manuals, warranty certificates, configuration documents and the preventive maintenance calendar are delivered for the Information System. Equivalent records for the electrical, UPS, generator, HVAC, fire suppression, access control, CCTV, cabling and raised floor installations are delivered with the facility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5_4&quot;">
              <w:r>
                <w:rPr>
                  <w:rStyle w:val="Hyperlink"/>
                  <w:b w:val="false"/>
                  <w:bCs w:val="false"/>
                  <w:i w:val="false"/>
                  <w:iCs w:val="false"/>
                </w:rPr>
                <w:t xml:space="preserve">5.4</w:t>
              </w:r>
            </w:fldSimple>
          </w:p>
        </w:tc>
      </w:tr>
      <w:tr>
        <w:tc>
          <w:tcPr>
            <w:tcW w:type="dxa" w:w="2110"/>
            <w:tcMar>
              <w:top w:type="dxa" w:w="60"/>
              <w:left w:type="dxa" w:w="100"/>
              <w:bottom w:type="dxa" w:w="60"/>
              <w:right w:type="dxa" w:w="100"/>
            </w:tcMar>
          </w:tcPr>
          <w:p>
            <w:pPr>
              <w:spacing w:after="0" w:before="0"/>
            </w:pPr>
            <w:r>
              <w:rPr>
                <w:b/>
                <w:bCs/>
                <w:i w:val="false"/>
                <w:iCs w:val="false"/>
              </w:rPr>
              <w:t xml:space="preserve">3.5.13.1</w:t>
            </w:r>
            <w:r>
              <w:rPr>
                <w:b w:val="false"/>
                <w:bCs w:val="false"/>
                <w:i w:val="false"/>
                <w:iCs w:val="false"/>
              </w:rPr>
              <w:t xml:space="preserve"> Training on facility operations, electrical, HVAC, fire, security, maintenance and emergency procedures.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Training on facility operations and the electrical, HVAC, fire and physical security systems, their preventive maintenance and emergency procedures is delivered under the facility works. It complements the Information System training, which covers emergency stops and safe working at the lines and includes a facility management participant in management training. [GAP: The facility training curriculum, trainees and schedule are not described.]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8&quot;">
              <w:r>
                <w:rPr>
                  <w:rStyle w:val="Hyperlink"/>
                  <w:b w:val="false"/>
                  <w:bCs w:val="false"/>
                  <w:i w:val="false"/>
                  <w:iCs w:val="false"/>
                </w:rPr>
                <w:t xml:space="preserve">3.8</w:t>
              </w:r>
            </w:fldSimple>
          </w:p>
        </w:tc>
      </w:tr>
      <w:tr>
        <w:tc>
          <w:tcPr>
            <w:tcW w:type="dxa" w:w="2110"/>
            <w:tcMar>
              <w:top w:type="dxa" w:w="60"/>
              <w:left w:type="dxa" w:w="100"/>
              <w:bottom w:type="dxa" w:w="60"/>
              <w:right w:type="dxa" w:w="100"/>
            </w:tcMar>
          </w:tcPr>
          <w:p>
            <w:pPr>
              <w:spacing w:after="0" w:before="0"/>
            </w:pPr>
            <w:r>
              <w:rPr>
                <w:b/>
                <w:bCs/>
                <w:i w:val="false"/>
                <w:iCs w:val="false"/>
              </w:rPr>
              <w:t xml:space="preserve">3.5.14.1</w:t>
            </w:r>
            <w:r>
              <w:rPr>
                <w:b w:val="false"/>
                <w:bCs w:val="false"/>
                <w:i w:val="false"/>
                <w:iCs w:val="false"/>
              </w:rPr>
              <w:t xml:space="preserve"> Defect liability period, workmanship and equipment warranties, and maintenance support during warranty.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All equipment, systems and services supplied are covered by a three-year warranty from Final Acceptance, with preventive and corrective maintenance and 24/7 support throughout. Defect liability and the workmanship and equipment warranties for the power, HVAC, fire suppression and physical security installations are provided under the facility works. [GAP: The defect liability period for the facility works is not stated.]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4&quot;">
              <w:r>
                <w:rPr>
                  <w:rStyle w:val="Hyperlink"/>
                  <w:b w:val="false"/>
                  <w:bCs w:val="false"/>
                  <w:i w:val="false"/>
                  <w:iCs w:val="false"/>
                </w:rPr>
                <w:t xml:space="preserve">5.4</w:t>
              </w:r>
            </w:fldSimple>
          </w:p>
        </w:tc>
      </w:tr>
    </w:tbl>
    <w:p>
      <w:pPr>
        <w:pStyle w:val="Heading1"/>
        <w:pageBreakBefore/>
        <w:numPr>
          <w:ilvl w:val="0"/>
          <w:numId w:val="2"/>
        </w:numPr>
        <w:spacing w:after="140" w:before="240"/>
      </w:pPr>
      <w:r>
        <w:t xml:space="preserve">T</w:t>
      </w:r>
      <w:bookmarkStart w:name="sec_4" w:id="1"/>
      <w:r>
        <w:rPr>
          <w:b w:val="false"/>
          <w:bCs w:val="false"/>
          <w:i w:val="false"/>
          <w:iCs w:val="false"/>
        </w:rPr>
        <w:t xml:space="preserve">esting and Quality Assurance Requirements</w:t>
      </w:r>
      <w:bookmarkEnd w:id="1"/>
    </w:p>
    <w:p>
      <w:pPr>
        <w:pStyle w:val="Heading2"/>
        <w:numPr>
          <w:ilvl w:val="1"/>
          <w:numId w:val="2"/>
        </w:numPr>
        <w:spacing w:after="140" w:before="260"/>
      </w:pPr>
      <w:r>
        <w:t xml:space="preserve">I</w:t>
      </w:r>
      <w:bookmarkStart w:name="sec_4_1" w:id="1"/>
      <w:r>
        <w:rPr>
          <w:b w:val="false"/>
          <w:bCs w:val="false"/>
          <w:i w:val="false"/>
          <w:iCs w:val="false"/>
        </w:rPr>
        <w:t xml:space="preserve">nspections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129"/>
        <w:gridCol w:w="2001"/>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129"/>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890"/>
            <w:tcMar>
              <w:top w:type="dxa" w:w="60"/>
              <w:left w:type="dxa" w:w="100"/>
              <w:bottom w:type="dxa" w:w="60"/>
              <w:right w:type="dxa" w:w="100"/>
            </w:tcMar>
          </w:tcPr>
          <w:p>
            <w:pPr>
              <w:spacing w:after="0" w:before="0"/>
            </w:pPr>
            <w:r>
              <w:rPr>
                <w:b/>
                <w:bCs/>
                <w:i w:val="false"/>
                <w:iCs w:val="false"/>
              </w:rPr>
              <w:t xml:space="preserve">4.1.1</w:t>
            </w:r>
            <w:r>
              <w:rPr>
                <w:b w:val="false"/>
                <w:bCs w:val="false"/>
                <w:i w:val="false"/>
                <w:iCs w:val="false"/>
              </w:rPr>
              <w:t xml:space="preserve"> Arrange Malawi team visits for FAT and training on laser personalization and mailing systems at the factory</w:t>
            </w:r>
          </w:p>
        </w:tc>
        <w:tc>
          <w:tcPr>
            <w:tcW w:type="dxa" w:w="5129"/>
            <w:tcMar>
              <w:top w:type="dxa" w:w="60"/>
              <w:left w:type="dxa" w:w="100"/>
              <w:bottom w:type="dxa" w:w="60"/>
              <w:right w:type="dxa" w:w="100"/>
            </w:tcMar>
          </w:tcPr>
          <w:p>
            <w:pPr>
              <w:spacing w:after="0" w:before="0"/>
            </w:pPr>
            <w:r>
              <w:rPr>
                <w:b w:val="false"/>
                <w:bCs w:val="false"/>
                <w:i w:val="false"/>
                <w:iCs w:val="false"/>
              </w:rPr>
              <w:t xml:space="preserve">Complies. Factory acceptance testing is held in week 17 at the equipment manufacturer's production facility, on the actual card stock, covering the personalization and mailing systems and witnessed by the NRB delegation. The manufacturer trains the delegation's technical staff there on equipment operation, calibration, preventive maintenance and first-line repair. Travel and boarding are borne by the Government of Malawi. [CONFIRM: The equipment manufacturer's written FAT hosting confirmation (Document Register item 1.9) must be obtained and attached; it is mandatory for clause 4.1.1.]</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FAT hosting confirmation</w:t>
            </w:r>
          </w:p>
        </w:tc>
      </w:tr>
      <w:tr>
        <w:tc>
          <w:tcPr>
            <w:tcW w:type="dxa" w:w="1890"/>
            <w:tcMar>
              <w:top w:type="dxa" w:w="60"/>
              <w:left w:type="dxa" w:w="100"/>
              <w:bottom w:type="dxa" w:w="60"/>
              <w:right w:type="dxa" w:w="100"/>
            </w:tcMar>
          </w:tcPr>
          <w:p>
            <w:pPr>
              <w:spacing w:after="0" w:before="0"/>
            </w:pPr>
            <w:r>
              <w:rPr>
                <w:b/>
                <w:bCs/>
                <w:i w:val="false"/>
                <w:iCs w:val="false"/>
              </w:rPr>
              <w:t xml:space="preserve">4.1.2</w:t>
            </w:r>
            <w:r>
              <w:rPr>
                <w:b w:val="false"/>
                <w:bCs w:val="false"/>
                <w:i w:val="false"/>
                <w:iCs w:val="false"/>
              </w:rPr>
              <w:t xml:space="preserve"> Provisions and methods for inspecting data center and ancillary equipment on delivery and unpacking</w:t>
            </w:r>
          </w:p>
        </w:tc>
        <w:tc>
          <w:tcPr>
            <w:tcW w:type="dxa" w:w="5129"/>
            <w:tcMar>
              <w:top w:type="dxa" w:w="60"/>
              <w:left w:type="dxa" w:w="100"/>
              <w:bottom w:type="dxa" w:w="60"/>
              <w:right w:type="dxa" w:w="100"/>
            </w:tcMar>
          </w:tcPr>
          <w:p>
            <w:pPr>
              <w:spacing w:after="0" w:before="0"/>
            </w:pPr>
            <w:r>
              <w:rPr>
                <w:b w:val="false"/>
                <w:bCs w:val="false"/>
                <w:i w:val="false"/>
                <w:iCs w:val="false"/>
              </w:rPr>
              <w:t xml:space="preserve">Complies. Inspection on delivery is a defined test level: as goods are unpacked and placed at the Card Production Facility, the Supplier and NRB jointly verify they arrived complete, undamaged and as ordered, in week 15 for ICT infrastructure and week 21 for equipment. Results go in a delivery inspection record, and equipment serial numbers are recorded. [GAP: The documents describe delivery inspection in one line only. The method itself is not described: checking against the packing list and purchase order, checking damage and shock indicators, capturing serial numbers at receipt, handling discrepancies and shortages, and NRB sign-off. Suggest adding a short delivery inspection procedure to </w:t>
            </w:r>
            <w:r>
              <w:rPr>
                <w:b w:val="false"/>
                <w:bCs w:val="false"/>
                <w:i w:val="false"/>
                <w:iCs w:val="false"/>
              </w:rPr>
              <w:t xml:space="preserve">Preliminary Project Plan Section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1&quot;">
              <w:r>
                <w:rPr>
                  <w:rStyle w:val="Hyperlink"/>
                  <w:b w:val="false"/>
                  <w:bCs w:val="false"/>
                  <w:i w:val="false"/>
                  <w:iCs w:val="false"/>
                </w:rPr>
                <w:t xml:space="preserve">4.1</w:t>
              </w:r>
            </w:fldSimple>
          </w:p>
        </w:tc>
      </w:tr>
    </w:tbl>
    <w:p>
      <w:pPr>
        <w:spacing w:after="140"/>
      </w:pPr>
    </w:p>
    <w:p>
      <w:pPr>
        <w:pStyle w:val="Heading2"/>
        <w:numPr>
          <w:ilvl w:val="1"/>
          <w:numId w:val="2"/>
        </w:numPr>
        <w:spacing w:after="140" w:before="260"/>
      </w:pPr>
      <w:r>
        <w:t xml:space="preserve">P</w:t>
      </w:r>
      <w:bookmarkStart w:name="sec_4_2" w:id="1"/>
      <w:r>
        <w:rPr>
          <w:b w:val="false"/>
          <w:bCs w:val="false"/>
          <w:i w:val="false"/>
          <w:iCs w:val="false"/>
        </w:rPr>
        <w:t xml:space="preserve">re-commissioning tests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09"/>
        <w:gridCol w:w="2001"/>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09"/>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4.2.0</w:t>
            </w:r>
            <w:r>
              <w:rPr>
                <w:b w:val="false"/>
                <w:bCs w:val="false"/>
                <w:i w:val="false"/>
                <w:iCs w:val="false"/>
              </w:rPr>
              <w:t xml:space="preserve"> Supplier performs the listed tests, with Purchaser assistance, before Installation Certificate issue</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Beyond the manufacturer's standard set-up and commissioning, the Supplier performs all sixteen Table A tests with the Purchaser's assistance in weeks 19 to 26, the ICT estate from week 19 and the equipment from week 24. Successful completion and the Purchaser's approval of their reports are the entry criteria for the Installation Certificate gate in week 26.</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110"/>
            <w:tcMar>
              <w:top w:type="dxa" w:w="60"/>
              <w:left w:type="dxa" w:w="100"/>
              <w:bottom w:type="dxa" w:w="60"/>
              <w:right w:type="dxa" w:w="100"/>
            </w:tcMar>
          </w:tcPr>
          <w:p>
            <w:pPr>
              <w:spacing w:after="0" w:before="0"/>
            </w:pPr>
            <w:r>
              <w:rPr>
                <w:b/>
                <w:bCs/>
                <w:i w:val="false"/>
                <w:iCs w:val="false"/>
              </w:rPr>
              <w:t xml:space="preserve">4.2.1</w:t>
            </w:r>
            <w:r>
              <w:rPr>
                <w:b w:val="false"/>
                <w:bCs w:val="false"/>
                <w:i w:val="false"/>
                <w:iCs w:val="false"/>
              </w:rPr>
              <w:t xml:space="preserve"> Prepare, execute and document a full Pre-Commissioning Test Program; retest failures at no cost</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The Pre-Commissioning Test Program covers the sixteen Table A tests across hardware, software, infrastructure, security, integration, operational and performance requirements, and is submitted for NRB approval in week 17. The Purchaser approves each test report before operational acceptance in week 27. A failed test is corrected and repeated at no cost, with every test the correction could affect.</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w:t>
            </w:r>
            <w:r>
              <w:rPr>
                <w:b w:val="false"/>
                <w:bCs w:val="false"/>
                <w:i w:val="false"/>
                <w:iCs w:val="false"/>
              </w:rPr>
              <w:t xml:space="preserve"> Physical installation verification: placement, anchoring, cabling, racks, workstations and safety clearances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24, after the manufacturer's engineers have installed the equipment, the Supplier verifies placement and anchoring of the equipment, racks and workstations, cable management and labeling, and safety clearances. Building-level items are verified with the facility works, and rack elevations are fixed in the approved Low-Level Design. Output is the Physical Installation Verification Report.</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2</w:t>
            </w:r>
            <w:r>
              <w:rPr>
                <w:b w:val="false"/>
                <w:bCs w:val="false"/>
                <w:i w:val="false"/>
                <w:iCs w:val="false"/>
              </w:rPr>
              <w:t xml:space="preserve"> Electrical power tests: utility, UPS, distribution, load, transfer switch, earthing, voltage and frequency</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Electrical power testing is performed under the facility works, which install the uninterruptible power supply, generator support with automatic transfer, power distribution and grounding, and deliver the electrical system documentation. The Information System relies on that result, and thereafter monitors power and UPS status with threshold alerts. [GAP: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gives test 2 no week and no deliverable, and the test details (utility power, UPS, distribution, circuit load, automatic transfer switch, earthing, voltage and frequency measurements) and the Electrical Systems Test Report appear only in the facility works plan, which is not one of the four citable documents. Add the week, the bullets and the report to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or cross-reference the facility works test plan.]</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3</w:t>
            </w:r>
            <w:r>
              <w:rPr>
                <w:b w:val="false"/>
                <w:bCs w:val="false"/>
                <w:i w:val="false"/>
                <w:iCs w:val="false"/>
              </w:rPr>
              <w:t xml:space="preserve"> Environmental tests: HVAC temperature, humidity and airflow; fire detection and suppression; water leak sensors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Environmental systems testing is performed under the facility works, which install air conditioning with humidity control, precision cooling, fire detection and clean agent suppression. Temperature, humidity and power readings then feed the System's monitoring and alerting, and environmental monitoring events feed security event management. [GAP: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gives test 3 no week and no deliverable, and the test details and the Environmental Systems Readiness Report are in the facility works plan, not in the four citable documents. Water leakage detection and airflow testing are not mentioned anywhere in the proposal. Confirm that leak sensors are in the facility works scope and add them to </w:t>
            </w: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the test to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4</w:t>
            </w:r>
            <w:r>
              <w:rPr>
                <w:b w:val="false"/>
                <w:bCs w:val="false"/>
                <w:i w:val="false"/>
                <w:iCs w:val="false"/>
              </w:rPr>
              <w:t xml:space="preserve"> Network tests: LAN, WAN, redundancy, switching, throughput, latency, VLANs, DNS and DHCP</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19 the Supplier tests LAN and WAN connectivity, redundancy, switch function, throughput, latency, VLANs, DNS and DHCP, reported in the Network Acceptance Report. Each security zone is a separate VLAN routed only through the firewall pair, and wide area links run on the Government Wide Area Network that the Purchaser provisions.</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7&quot;">
              <w:r>
                <w:rPr>
                  <w:rStyle w:val="Hyperlink"/>
                  <w:b w:val="false"/>
                  <w:bCs w:val="false"/>
                  <w:i w:val="false"/>
                  <w:iCs w:val="false"/>
                </w:rPr>
                <w:t xml:space="preserve">2.7</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9_2&quot;">
              <w:r>
                <w:rPr>
                  <w:rStyle w:val="Hyperlink"/>
                  <w:b w:val="false"/>
                  <w:bCs w:val="false"/>
                  <w:i w:val="false"/>
                  <w:iCs w:val="false"/>
                </w:rPr>
                <w:t xml:space="preserve">9.2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5</w:t>
            </w:r>
            <w:r>
              <w:rPr>
                <w:b w:val="false"/>
                <w:bCs w:val="false"/>
                <w:i w:val="false"/>
                <w:iCs w:val="false"/>
              </w:rPr>
              <w:t xml:space="preserve"> Cybersecurity tests: Active Directory, RBAC, password policy, firewall, anti-malware, endpoint, audit logging</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19 the Supplier verifies Active Directory integration, role-based access, password policy, firewall rules, anti-malware, endpoint protection, log generation and event monitoring, reported in the Security Readiness Report. The password policy follows NIST SP 800-63B, and endpoint detection and response runs on every server, virtual machine and workstation. [CONFIRM: </w:t>
            </w:r>
            <w:r>
              <w:rPr>
                <w:b w:val="false"/>
                <w:bCs w:val="false"/>
                <w:i w:val="false"/>
                <w:iCs w:val="false"/>
              </w:rPr>
              <w:t xml:space="preserve">System Architecture Section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describes the System's own directory on three domain controllers, independent of NRB services, while the Responses to Queries 003 state that NRB will provide its existing Active Directory for integration. Confirm the directory product and how it integrates with NRB's Active Directory, and align the two statements.]</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6</w:t>
            </w:r>
            <w:r>
              <w:rPr>
                <w:b w:val="false"/>
                <w:bCs w:val="false"/>
                <w:i w:val="false"/>
                <w:iCs w:val="false"/>
              </w:rPr>
              <w:t xml:space="preserve"> Personalization equipment tests: card feeding, laser engraving, printing alignment and quality, barcode and QR encoding</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24 the Supplier tests hopper loading and automatic feeding, image, text and variable data engraving, alignment, greyscale consistency (the laser is monochrome) and QR encoding, with engraving quality verified in line on every card. As amended by Addendum 2, chip encoding is removed: the chipless card carries a signed QR code and a machine-readable card identifier. [CONFIRM: Table A test 6 as amended by Addendum 2 still lists barcode encoding (if applicable) and print quality, but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lists only alignment, greyscale consistency and QR encoding. Confirm the symbology of the machine-readable card identifier, and add its encoding and print quality to test 6 in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and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7</w:t>
            </w:r>
            <w:r>
              <w:rPr>
                <w:b w:val="false"/>
                <w:bCs w:val="false"/>
                <w:i w:val="false"/>
                <w:iCs w:val="false"/>
              </w:rPr>
              <w:t xml:space="preserve"> Mailing system tests: envelope feeding, insertion, address printing, sorting and batch processing</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24 the Supplier tests envelope feeding and insertion, address printing, sorting and batch processing, reported in the Mailing System Functional Test Report. Each line affixes one to four cards per carrier, inserts and seals automatically, prints the address on the carrier behind the envelope window, and outputs mail pieces sorted by destination.</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and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Attachment: Mailing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8</w:t>
            </w:r>
            <w:r>
              <w:rPr>
                <w:b w:val="false"/>
                <w:bCs w:val="false"/>
                <w:i w:val="false"/>
                <w:iCs w:val="false"/>
              </w:rPr>
              <w:t xml:space="preserve"> Software tests: operating system, database, application, licenses, backup configuration and monitoring tools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19 the Supplier verifies operating systems, database, application installation, licenses, backup configuration and monitoring tools, reported in the Software Readiness Report. Installation uses hardened, version-controlled baseline templates from a central configuration repository, and every software title is held with its license terms in the classified software inventory.</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4&quot;">
              <w:r>
                <w:rPr>
                  <w:rStyle w:val="Hyperlink"/>
                  <w:b w:val="false"/>
                  <w:bCs w:val="false"/>
                  <w:i w:val="false"/>
                  <w:iCs w:val="false"/>
                </w:rPr>
                <w:t xml:space="preserve">6.14</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9</w:t>
            </w:r>
            <w:r>
              <w:rPr>
                <w:b w:val="false"/>
                <w:bCs w:val="false"/>
                <w:i w:val="false"/>
                <w:iCs w:val="false"/>
              </w:rPr>
              <w:t xml:space="preserve"> NRIS integration tests: API and web service connectivity, data retrieval, status updates, error handling</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25 the Supplier tests API and web service connectivity, secure communication, retrieval of demographic data, photograph and signature, status updates, and invalid record, missing data and communication failure handling. Error conditions are induced rather than inspected, and the NRIS interface uses mutual certificate authentication over TLS 1.2 or higher.</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2&quot;">
              <w:r>
                <w:rPr>
                  <w:rStyle w:val="Hyperlink"/>
                  <w:b w:val="false"/>
                  <w:bCs w:val="false"/>
                  <w:i w:val="false"/>
                  <w:iCs w:val="false"/>
                </w:rPr>
                <w:t xml:space="preserve">7.12</w:t>
              </w:r>
            </w:fldSimple>
            <w:r>
              <w:rPr>
                <w:b w:val="false"/>
                <w:bCs w:val="false"/>
                <w:i w:val="false"/>
                <w:iCs w:val="false"/>
              </w:rPr>
              <w:t xml:space="preserve">,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and </w:t>
            </w:r>
            <w:fldSimple w:instr="HYPERLINK &quot;Document-5-Technical-Proposal-System-Architecture.docx&quot; \l &quot;sec_10_5&quot;">
              <w:r>
                <w:rPr>
                  <w:rStyle w:val="Hyperlink"/>
                  <w:b w:val="false"/>
                  <w:bCs w:val="false"/>
                  <w:i w:val="false"/>
                  <w:iCs w:val="false"/>
                </w:rPr>
                <w:t xml:space="preserve">10.5</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10</w:t>
            </w:r>
            <w:r>
              <w:rPr>
                <w:b w:val="false"/>
                <w:bCs w:val="false"/>
                <w:i w:val="false"/>
                <w:iCs w:val="false"/>
              </w:rPr>
              <w:t xml:space="preserve"> Data validation tests: field mapping, transformation, character encoding, completeness, duplicate detection</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25 the Supplier verifies field mapping, transformation, character encoding, completeness and duplicate record detection, reported in the Data Integrity Verification Report. Mapping follows the Data Mapping and Transformation Document field by field, every record is validated before queuing, and a duplicate request is never queued twice.</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3&quot;">
              <w:r>
                <w:rPr>
                  <w:rStyle w:val="Hyperlink"/>
                  <w:b w:val="false"/>
                  <w:bCs w:val="false"/>
                  <w:i w:val="false"/>
                  <w:iCs w:val="false"/>
                </w:rPr>
                <w:t xml:space="preserve">7.3</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11</w:t>
            </w:r>
            <w:r>
              <w:rPr>
                <w:b w:val="false"/>
                <w:bCs w:val="false"/>
                <w:i w:val="false"/>
                <w:iCs w:val="false"/>
              </w:rPr>
              <w:t xml:space="preserve"> Card security feature tests: engraving, ghost image, microtext, guilloche, background, UV, machine-readable elements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25 the Supplier verifies laser engraving quality, the secondary (ghost) image, micro text, guilloche, security background, UV features and machine-readable elements, reported in the Card Security Features Verification Report. The card body features are those listed for the approved design, and the signed QR code and card identifier are read and validated on every card.</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and </w:t>
            </w:r>
            <w:fldSimple w:instr="HYPERLINK &quot;Document-5-Technical-Proposal-System-Architecture.docx&quot; \l &quot;sec_4_4&quot;">
              <w:r>
                <w:rPr>
                  <w:rStyle w:val="Hyperlink"/>
                  <w:b w:val="false"/>
                  <w:bCs w:val="false"/>
                  <w:i w:val="false"/>
                  <w:iCs w:val="false"/>
                </w:rPr>
                <w:t xml:space="preserve">4.4</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12</w:t>
            </w:r>
            <w:r>
              <w:rPr>
                <w:b w:val="false"/>
                <w:bCs w:val="false"/>
                <w:i w:val="false"/>
                <w:iCs w:val="false"/>
              </w:rPr>
              <w:t xml:space="preserve"> Quality control tests: automated inspection, defect detection, OCR, barcode and image quality</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25 the Supplier verifies automated inspection, defect detection, OCR, barcode and image quality verification. Every card is verified in line, not sampled: engraved text by OCR, machine-readable codes on both faces, and the QR code compared byte for byte with its signed payload. Failing cards are rejected automatically and reproduced within the job.</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13</w:t>
            </w:r>
            <w:r>
              <w:rPr>
                <w:b w:val="false"/>
                <w:bCs w:val="false"/>
                <w:i w:val="false"/>
                <w:iCs w:val="false"/>
              </w:rPr>
              <w:t xml:space="preserve"> Backup and recovery tests: backup, database and configuration restore, disaster recovery procedures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20 the Supplier tests backup execution, database and configuration restoration, and the disaster recovery procedures, including failover of the database and service virtual machines to the secondary environment in Blantyre. The recovery point and recovery time achieved are measured by inducing failure, not checked by inspection.</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14</w:t>
            </w:r>
            <w:r>
              <w:rPr>
                <w:b w:val="false"/>
                <w:bCs w:val="false"/>
                <w:i w:val="false"/>
                <w:iCs w:val="false"/>
              </w:rPr>
              <w:t xml:space="preserve"> End-to-end workflow simulation from NRIS extraction to dispatch and status update</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25 the Supplier simulates record retrieval from NRIS, job generation, personalization, quality inspection, mailing preparation, dispatch generation and status update to NRIS, against the NRIS test environment, reported in the Workflow Simulation Report. Status events are raised automatically at each stage, with no operator reporting.</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2&quot;">
              <w:r>
                <w:rPr>
                  <w:rStyle w:val="Hyperlink"/>
                  <w:b w:val="false"/>
                  <w:bCs w:val="false"/>
                  <w:i w:val="false"/>
                  <w:iCs w:val="false"/>
                </w:rPr>
                <w:t xml:space="preserve">4.2</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2_2&quot;">
              <w:r>
                <w:rPr>
                  <w:rStyle w:val="Hyperlink"/>
                  <w:b w:val="false"/>
                  <w:bCs w:val="false"/>
                  <w:i w:val="false"/>
                  <w:iCs w:val="false"/>
                </w:rPr>
                <w:t xml:space="preserve">2.2</w:t>
              </w:r>
            </w:fldSimple>
            <w:r>
              <w:rPr>
                <w:b w:val="false"/>
                <w:bCs w:val="false"/>
                <w:i w:val="false"/>
                <w:iCs w:val="false"/>
              </w:rPr>
              <w:t xml:space="preserve"> and </w:t>
            </w:r>
            <w:fldSimple w:instr="HYPERLINK &quot;Document-5-Technical-Proposal-System-Architecture.docx&quot; \l &quot;sec_7_11&quot;">
              <w:r>
                <w:rPr>
                  <w:rStyle w:val="Hyperlink"/>
                  <w:b w:val="false"/>
                  <w:bCs w:val="false"/>
                  <w:i w:val="false"/>
                  <w:iCs w:val="false"/>
                </w:rPr>
                <w:t xml:space="preserve">7.11</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15</w:t>
            </w:r>
            <w:r>
              <w:rPr>
                <w:b w:val="false"/>
                <w:bCs w:val="false"/>
                <w:i w:val="false"/>
                <w:iCs w:val="false"/>
              </w:rPr>
              <w:t xml:space="preserve"> Pilot production of 500 to 1,000 test cards through actual production processes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26, 500 to 1,000 test cards are produced from NRIS test environment records through the full process to dispatch record and status update, operated by trainee operators, verifying data accuracy, print and engraving quality, mailing and reporting. As clarified in the Responses to Queries 003, test cards are not issued; they are destroyed under dual custody.</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6&quot;">
              <w:r>
                <w:rPr>
                  <w:rStyle w:val="Hyperlink"/>
                  <w:b w:val="false"/>
                  <w:bCs w:val="false"/>
                  <w:i w:val="false"/>
                  <w:iCs w:val="false"/>
                </w:rPr>
                <w:t xml:space="preserve">2.6</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0&quot;">
              <w:r>
                <w:rPr>
                  <w:rStyle w:val="Hyperlink"/>
                  <w:b w:val="false"/>
                  <w:bCs w:val="false"/>
                  <w:i w:val="false"/>
                  <w:iCs w:val="false"/>
                </w:rPr>
                <w:t xml:space="preserve">6.10</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16</w:t>
            </w:r>
            <w:r>
              <w:rPr>
                <w:b w:val="false"/>
                <w:bCs w:val="false"/>
                <w:i w:val="false"/>
                <w:iCs w:val="false"/>
              </w:rPr>
              <w:t xml:space="preserve"> Performance tests: sustained and peak card rates, batch processing and mailing throughput</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26 the Supplier demonstrates sustained and peak production rates, batch processing and mailing throughput: not less than 1,000 cards per hour per personalization line, 2,000 combined, and 2,000 completed mailers per hour across the two mailing lines, over the fourteen-hour day. As clarified in the Responses to Queries 003, throughput counts accepted finished cards. [CONFIRM: The equipment manufacturer must confirm in writing 1,000 accepted cards per hour per line with the full personalization content (risk R3 in </w:t>
            </w:r>
            <w:r>
              <w:rPr>
                <w:b w:val="false"/>
                <w:bCs w:val="false"/>
                <w:i w:val="false"/>
                <w:iCs w:val="false"/>
              </w:rPr>
              <w:t xml:space="preserve">Preliminary Project Plan Section </w:t>
            </w:r>
            <w:fldSimple w:instr="HYPERLINK &quot;Preliminary-Project-Plan-Information-System-Sub-Plans.docx&quot; \l &quot;sec_2_9&quot;">
              <w:r>
                <w:rPr>
                  <w:rStyle w:val="Hyperlink"/>
                  <w:b w:val="false"/>
                  <w:bCs w:val="false"/>
                  <w:i w:val="false"/>
                  <w:iCs w:val="false"/>
                </w:rPr>
                <w:t xml:space="preserve">2.9</w:t>
              </w:r>
            </w:fldSimple>
            <w:r>
              <w:rPr>
                <w:b w:val="false"/>
                <w:bCs w:val="false"/>
                <w:i w:val="false"/>
                <w:iCs w:val="false"/>
              </w:rPr>
              <w:t xml:space="preserve">). The proposal does not yet state that throughput is measured on accepted finished cards, as the Responses to Queries 003 require: add it to </w:t>
            </w: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and </w:t>
            </w:r>
            <w:r>
              <w:rPr>
                <w:b w:val="false"/>
                <w:bCs w:val="false"/>
                <w:i w:val="false"/>
                <w:iCs w:val="false"/>
              </w:rPr>
              <w:t xml:space="preserve">System Architecture Section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The MS1000 datasheet rates the mailing line at up to 1,000 cards per hour, so the mailing rate is at the datasheet maximum.]</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bl>
    <w:p>
      <w:pPr>
        <w:spacing w:after="140"/>
      </w:pPr>
    </w:p>
    <w:p>
      <w:pPr>
        <w:pStyle w:val="Heading2"/>
        <w:numPr>
          <w:ilvl w:val="1"/>
          <w:numId w:val="2"/>
        </w:numPr>
        <w:spacing w:after="140" w:before="260"/>
      </w:pPr>
      <w:r>
        <w:t xml:space="preserve">O</w:t>
      </w:r>
      <w:bookmarkStart w:name="sec_4_3" w:id="1"/>
      <w:r>
        <w:rPr>
          <w:b w:val="false"/>
          <w:bCs w:val="false"/>
          <w:i w:val="false"/>
          <w:iCs w:val="false"/>
        </w:rPr>
        <w:t xml:space="preserve">perational acceptance tests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70"/>
        <w:gridCol w:w="4250"/>
        <w:gridCol w:w="2000"/>
      </w:tblGrid>
      <w:tr>
        <w:trPr>
          <w:tblHeader/>
        </w:trPr>
        <w:tc>
          <w:tcPr>
            <w:tcW w:type="dxa" w:w="27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25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770"/>
            <w:tcMar>
              <w:top w:type="dxa" w:w="60"/>
              <w:left w:type="dxa" w:w="100"/>
              <w:bottom w:type="dxa" w:w="60"/>
              <w:right w:type="dxa" w:w="100"/>
            </w:tcMar>
          </w:tcPr>
          <w:p>
            <w:pPr>
              <w:spacing w:after="0" w:before="0"/>
            </w:pPr>
            <w:r>
              <w:rPr>
                <w:b/>
                <w:bCs/>
                <w:i w:val="false"/>
                <w:iCs w:val="false"/>
              </w:rPr>
              <w:t xml:space="preserve">4.3.0</w:t>
            </w:r>
            <w:r>
              <w:rPr>
                <w:b w:val="false"/>
                <w:bCs w:val="false"/>
                <w:i w:val="false"/>
                <w:iCs w:val="false"/>
              </w:rPr>
              <w:t xml:space="preserve"> Purchaser, assisted by Supplier, performs the listed tests after Installation for Operational Acceptance</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Once the Installation Certificate is issued, the Purchaser performs the seventeen Table B tests in weeks 27 to 30 with the Supplier's assistance, and their successful completion is the condition for the Operational Acceptance Certificate. Each test is rehearsed in pre-commissioning, so acceptance confirms a known result rather than finding defects.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8&quot;">
              <w:r>
                <w:rPr>
                  <w:rStyle w:val="Hyperlink"/>
                  <w:b w:val="false"/>
                  <w:bCs w:val="false"/>
                  <w:i w:val="false"/>
                  <w:iCs w:val="false"/>
                </w:rPr>
                <w:t xml:space="preserve">2.8</w:t>
              </w:r>
            </w:fldSimple>
            <w:r>
              <w:rPr>
                <w:b w:val="false"/>
                <w:bCs w:val="false"/>
                <w:i w:val="false"/>
                <w:iCs w:val="false"/>
              </w:rPr>
              <w:t xml:space="preserve">,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770"/>
            <w:tcMar>
              <w:top w:type="dxa" w:w="60"/>
              <w:left w:type="dxa" w:w="100"/>
              <w:bottom w:type="dxa" w:w="60"/>
              <w:right w:type="dxa" w:w="100"/>
            </w:tcMar>
          </w:tcPr>
          <w:p>
            <w:pPr>
              <w:spacing w:after="0" w:before="0"/>
            </w:pPr>
            <w:r>
              <w:rPr>
                <w:b/>
                <w:bCs/>
                <w:i w:val="false"/>
                <w:iCs w:val="false"/>
              </w:rPr>
              <w:t xml:space="preserve">4.3.1</w:t>
            </w:r>
            <w:r>
              <w:rPr>
                <w:b w:val="false"/>
                <w:bCs w:val="false"/>
                <w:i w:val="false"/>
                <w:iCs w:val="false"/>
              </w:rPr>
              <w:t xml:space="preserve"> Live-production OAT confirming stability, throughput, security, integrity, NRIS interoperability and independence; prerequisite for acceptance and warranty</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Inkript assists the Purchaser in running the seventeen Table B tests in the live production environment in weeks 27 to 30, each measured by a method agreed with NRB in the operational acceptance test procedures issued in week 24. Their completion is the Operational Acceptance gate in week 30, from which post-Operational Acceptance technical assistance starts. [CONFIRM: Two points to settle. (1) The Responses to Queries 003 state that acceptance tests run against the NRIS test environment and test cards are not issued, while </w:t>
            </w:r>
            <w:r>
              <w:rPr>
                <w:b w:val="false"/>
                <w:bCs w:val="false"/>
                <w:i w:val="false"/>
                <w:iCs w:val="false"/>
              </w:rPr>
              <w:t xml:space="preserve">Preliminary Project Plan Section </w:t>
            </w:r>
            <w:fldSimple w:instr="HYPERLINK &quot;Preliminary-Project-Plan-Information-System-Sub-Plans.docx&quot; \l &quot;sec_2_6&quot;">
              <w:r>
                <w:rPr>
                  <w:rStyle w:val="Hyperlink"/>
                  <w:b w:val="false"/>
                  <w:bCs w:val="false"/>
                  <w:i w:val="false"/>
                  <w:iCs w:val="false"/>
                </w:rPr>
                <w:t xml:space="preserve">2.6</w:t>
              </w:r>
            </w:fldSimple>
            <w:r>
              <w:rPr>
                <w:b w:val="false"/>
                <w:bCs w:val="false"/>
                <w:i w:val="false"/>
                <w:iCs w:val="false"/>
              </w:rPr>
              <w:t xml:space="preserve"> and </w:t>
            </w: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plan operational acceptance on real NRIS records. Confirm with NRB which data the OAT uses. (2) Clause 4.3.1 ties warranty commencement to OAT completion, but </w:t>
            </w:r>
            <w:r>
              <w:rPr>
                <w:b w:val="false"/>
                <w:bCs w:val="false"/>
                <w:i w:val="false"/>
                <w:iCs w:val="false"/>
              </w:rPr>
              <w:t xml:space="preserve">Preliminary Project Plan Section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starts the warranty at Final Acceptance (SCC GCC 29.4); align the wording.]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6&quot;">
              <w:r>
                <w:rPr>
                  <w:rStyle w:val="Hyperlink"/>
                  <w:b w:val="false"/>
                  <w:bCs w:val="false"/>
                  <w:i w:val="false"/>
                  <w:iCs w:val="false"/>
                </w:rPr>
                <w:t xml:space="preserve">2.6</w:t>
              </w:r>
            </w:fldSimple>
            <w:r>
              <w:rPr>
                <w:b w:val="false"/>
                <w:bCs w:val="false"/>
                <w:i w:val="false"/>
                <w:iCs w:val="false"/>
              </w:rPr>
              <w:t xml:space="preserve">,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fldSimple w:instr="HYPERLINK &quot;Preliminary-Project-Plan-Information-System-Sub-Plans.docx&quot; \l &quot;sec_4_7&quot;">
              <w:r>
                <w:rPr>
                  <w:rStyle w:val="Hyperlink"/>
                  <w:b w:val="false"/>
                  <w:bCs w:val="false"/>
                  <w:i w:val="false"/>
                  <w:iCs w:val="false"/>
                </w:rPr>
                <w:t xml:space="preserve">4.7</w:t>
              </w:r>
            </w:fldSimple>
            <w:r>
              <w:rPr>
                <w:b w:val="false"/>
                <w:bCs w:val="false"/>
                <w:i w:val="false"/>
                <w:iCs w:val="false"/>
              </w:rPr>
              <w:t xml:space="preserve"> and </w:t>
            </w:r>
            <w:fldSimple w:instr="HYPERLINK &quot;Preliminary-Project-Plan-Information-System-Sub-Plans.docx&quot; \l &quot;sec_5_1&quot;">
              <w:r>
                <w:rPr>
                  <w:rStyle w:val="Hyperlink"/>
                  <w:b w:val="false"/>
                  <w:bCs w:val="false"/>
                  <w:i w:val="false"/>
                  <w:iCs w:val="false"/>
                </w:rPr>
                <w:t xml:space="preserve">5.1</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w:t>
            </w:r>
            <w:r>
              <w:rPr>
                <w:b w:val="false"/>
                <w:bCs w:val="false"/>
                <w:i w:val="false"/>
                <w:iCs w:val="false"/>
              </w:rPr>
              <w:t xml:space="preserve"> End-to-end workflow test: 100% records processed automatically with NRIS status and audit trail</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all test records flow from NRIS through personalization, quality control, mailing and dispatch to status update without manual intervention. Status events are published to NRIS automatically at each stage, and every stage writes against the National Identity Number and card serial number, giving a full audit trail per transaction. Rehearsed as pre-commissioning test 14.</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1&quot;">
              <w:r>
                <w:rPr>
                  <w:rStyle w:val="Hyperlink"/>
                  <w:b w:val="false"/>
                  <w:bCs w:val="false"/>
                  <w:i w:val="false"/>
                  <w:iCs w:val="false"/>
                </w:rPr>
                <w:t xml:space="preserve">7.11</w:t>
              </w:r>
            </w:fldSimple>
            <w:r>
              <w:rPr>
                <w:b w:val="false"/>
                <w:bCs w:val="false"/>
                <w:i w:val="false"/>
                <w:iCs w:val="false"/>
              </w:rPr>
              <w:t xml:space="preserve"> and </w:t>
            </w:r>
            <w:fldSimple w:instr="HYPERLINK &quot;Document-5-Technical-Proposal-System-Architecture.docx&quot; \l &quot;sec_7_14&quot;">
              <w:r>
                <w:rPr>
                  <w:rStyle w:val="Hyperlink"/>
                  <w:b w:val="false"/>
                  <w:bCs w:val="false"/>
                  <w:i w:val="false"/>
                  <w:iCs w:val="false"/>
                </w:rPr>
                <w:t xml:space="preserve">7.14</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2</w:t>
            </w:r>
            <w:r>
              <w:rPr>
                <w:b w:val="false"/>
                <w:bCs w:val="false"/>
                <w:i w:val="false"/>
                <w:iCs w:val="false"/>
              </w:rPr>
              <w:t xml:space="preserve"> Sustained production stability: continuous operation, availability at least 99%, no severity 1 failures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weeks 27 and 28 production runs continuously over the defined period, requiring availability of not less than 99 percent, measured with the exclusions in </w:t>
            </w:r>
            <w:r>
              <w:rPr>
                <w:b w:val="false"/>
                <w:bCs w:val="false"/>
                <w:i w:val="false"/>
                <w:iCs w:val="false"/>
              </w:rPr>
              <w:t xml:space="preserve">System Architecture Section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no severity 1 failure. Clustered hosts, independent laser stations and two independent lines mean a component failure reduces throughput rather than stopping production.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Document-5-Technical-Proposal-System-Architecture.docx&quot; \l &quot;sec_9_3&quot;">
              <w:r>
                <w:rPr>
                  <w:rStyle w:val="Hyperlink"/>
                  <w:b w:val="false"/>
                  <w:bCs w:val="false"/>
                  <w:i w:val="false"/>
                  <w:iCs w:val="false"/>
                </w:rPr>
                <w:t xml:space="preserve">9.3</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3</w:t>
            </w:r>
            <w:r>
              <w:rPr>
                <w:b w:val="false"/>
                <w:bCs w:val="false"/>
                <w:i w:val="false"/>
                <w:iCs w:val="false"/>
              </w:rPr>
              <w:t xml:space="preserve"> Throughput compliance: contractual cards per hour and mail items per hour, no backlog</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cards per hour and mail items per hour are measured across both lines over the fourteen-hour day against the contractual minimum of 2,000 per hour combined, counting accepted finished cards as clarified in the Responses to Queries 003. Mailing capacity matches personalization line for line, and buffer modules absorb short stoppages, so no backlog accumulates. [CONFIRM: Depends on the equipment manufacturer confirming 1,000 accepted cards per hour per line with the full personalization content (risk R3 in </w:t>
            </w:r>
            <w:r>
              <w:rPr>
                <w:b w:val="false"/>
                <w:bCs w:val="false"/>
                <w:i w:val="false"/>
                <w:iCs w:val="false"/>
              </w:rPr>
              <w:t xml:space="preserve">Preliminary Project Plan Section </w:t>
            </w:r>
            <w:fldSimple w:instr="HYPERLINK &quot;Preliminary-Project-Plan-Information-System-Sub-Plans.docx&quot; \l &quot;sec_2_9&quot;">
              <w:r>
                <w:rPr>
                  <w:rStyle w:val="Hyperlink"/>
                  <w:b w:val="false"/>
                  <w:bCs w:val="false"/>
                  <w:i w:val="false"/>
                  <w:iCs w:val="false"/>
                </w:rPr>
                <w:t xml:space="preserve">2.9</w:t>
              </w:r>
            </w:fldSimple>
            <w:r>
              <w:rPr>
                <w:b w:val="false"/>
                <w:bCs w:val="false"/>
                <w:i w:val="false"/>
                <w:iCs w:val="false"/>
              </w:rPr>
              <w:t xml:space="preserve">). The throughput basis in </w:t>
            </w: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says cards per hour, not accepted finished cards; align it with the Responses to Queries 003.]</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4</w:t>
            </w:r>
            <w:r>
              <w:rPr>
                <w:b w:val="false"/>
                <w:bCs w:val="false"/>
                <w:i w:val="false"/>
                <w:iCs w:val="false"/>
              </w:rPr>
              <w:t xml:space="preserve"> Peak load test: no failures or data loss, response times met, throughput at least 95%</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a simulated peak workload is applied with all components operating, requiring no failure or data loss, response times within the stated thresholds, and throughput of at least 95 percent of the nominal capacity of 2,000 cards per hour. Load, stress and transaction integrity testing at peak precede it.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11_2&quot;">
              <w:r>
                <w:rPr>
                  <w:rStyle w:val="Hyperlink"/>
                  <w:b w:val="false"/>
                  <w:bCs w:val="false"/>
                  <w:i w:val="false"/>
                  <w:iCs w:val="false"/>
                </w:rPr>
                <w:t xml:space="preserve">11.2</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5</w:t>
            </w:r>
            <w:r>
              <w:rPr>
                <w:b w:val="false"/>
                <w:bCs w:val="false"/>
                <w:i w:val="false"/>
                <w:iCs w:val="false"/>
              </w:rPr>
              <w:t xml:space="preserve"> Data accuracy test: at least 99.99% accuracy, no mismatch, loss or duplication</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data on produced cards, read by in-line verification, is compared with the NRIS source record, requiring at least 99.99 percent accuracy and no mismatch, loss or duplication. Every card is checked: engraved text by OCR against the source record, and the QR code carrying the biometric data byte for byte against its signed payload.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6</w:t>
            </w:r>
            <w:r>
              <w:rPr>
                <w:b w:val="false"/>
                <w:bCs w:val="false"/>
                <w:i w:val="false"/>
                <w:iCs w:val="false"/>
              </w:rPr>
              <w:t xml:space="preserve"> NRIS business process test: new issuance, reprint, replacement, lost and damaged cards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new issuance, reprint, replacement, and lost and damaged card transactions run in production mode, with real-time status in NRIS and no failed or orphaned transactions. Each transaction type is distinguished on the NRIS record, and every exception follows a defined handling path and is recorded rather than discarded.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0&quot;">
              <w:r>
                <w:rPr>
                  <w:rStyle w:val="Hyperlink"/>
                  <w:b w:val="false"/>
                  <w:bCs w:val="false"/>
                  <w:i w:val="false"/>
                  <w:iCs w:val="false"/>
                </w:rPr>
                <w:t xml:space="preserve">7.10</w:t>
              </w:r>
            </w:fldSimple>
            <w:r>
              <w:rPr>
                <w:b w:val="false"/>
                <w:bCs w:val="false"/>
                <w:i w:val="false"/>
                <w:iCs w:val="false"/>
              </w:rPr>
              <w:t xml:space="preserve">, </w:t>
            </w:r>
            <w:fldSimple w:instr="HYPERLINK &quot;Document-5-Technical-Proposal-System-Architecture.docx&quot; \l &quot;sec_7_11&quot;">
              <w:r>
                <w:rPr>
                  <w:rStyle w:val="Hyperlink"/>
                  <w:b w:val="false"/>
                  <w:bCs w:val="false"/>
                  <w:i w:val="false"/>
                  <w:iCs w:val="false"/>
                </w:rPr>
                <w:t xml:space="preserve">7.11</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7</w:t>
            </w:r>
            <w:r>
              <w:rPr>
                <w:b w:val="false"/>
                <w:bCs w:val="false"/>
                <w:i w:val="false"/>
                <w:iCs w:val="false"/>
              </w:rPr>
              <w:t xml:space="preserve"> Card quality and security: approved design, security features applied, reject rate at most 1%, barcode/QR functional</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cards are checked for compliance with the approved design, correctly applied laser engraving, micro text, UV and other features, and a reject rate of at most 1 percent of attempts. As amended by Addendum 2, machine-readable features are barcode or QR, with no chip; the QR code and card identifier are read on every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8</w:t>
            </w:r>
            <w:r>
              <w:rPr>
                <w:b w:val="false"/>
                <w:bCs w:val="false"/>
                <w:i w:val="false"/>
                <w:iCs w:val="false"/>
              </w:rPr>
              <w:t xml:space="preserve"> Mailing and dispatch test: at least 99.5% accuracy, correct card-envelope-recipient matching, dispatch records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requires at least 99.5 percent accuracy in insertion and addressing, no duplicate or missing items, and correct card-to-envelope-to-recipient matching. Every card is read twice against its record, the second time on its carrier after affixing, and a dispatch record is generated and stored for every mail piece.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and </w:t>
            </w:r>
            <w:fldSimple w:instr="HYPERLINK &quot;Document-5-Technical-Proposal-System-Architecture.docx&quot; \l &quot;sec_5_7&quot;">
              <w:r>
                <w:rPr>
                  <w:rStyle w:val="Hyperlink"/>
                  <w:b w:val="false"/>
                  <w:bCs w:val="false"/>
                  <w:i w:val="false"/>
                  <w:iCs w:val="false"/>
                </w:rPr>
                <w:t xml:space="preserve">5.7</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9</w:t>
            </w:r>
            <w:r>
              <w:rPr>
                <w:b w:val="false"/>
                <w:bCs w:val="false"/>
                <w:i w:val="false"/>
                <w:iCs w:val="false"/>
              </w:rPr>
              <w:t xml:space="preserve"> Audit trail test: full card traceability, all user actions and events logged, tamper-proof logs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demonstrates traceability of every card from NRIS record to dispatch, and logging of all operator, supervisor and administrator actions, system events and exceptions. Audit records are written once to storage that no user, administrators included, can modify or delete, with verifiable integrity and ten-year retention.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and </w:t>
            </w:r>
            <w:fldSimple w:instr="HYPERLINK &quot;Document-5-Technical-Proposal-System-Architecture.docx&quot; \l &quot;sec_10_6&quot;">
              <w:r>
                <w:rPr>
                  <w:rStyle w:val="Hyperlink"/>
                  <w:b w:val="false"/>
                  <w:bCs w:val="false"/>
                  <w:i w:val="false"/>
                  <w:iCs w:val="false"/>
                </w:rPr>
                <w:t xml:space="preserve">10.6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10</w:t>
            </w:r>
            <w:r>
              <w:rPr>
                <w:b w:val="false"/>
                <w:bCs w:val="false"/>
                <w:i w:val="false"/>
                <w:iCs w:val="false"/>
              </w:rPr>
              <w:t xml:space="preserve"> Security operations test: authorized access only, failed logins alerted, no escalation or critical vulnerabilities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confirms access limited to authorized roles, failed logins logged and alerted, no privilege escalation, all security events monitored, and no critical vulnerability. Independent penetration testing in week 24, with retest in weeks 25 and 26, precedes it, and privileged access is issued just in time and recorded.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11</w:t>
            </w:r>
            <w:r>
              <w:rPr>
                <w:b w:val="false"/>
                <w:bCs w:val="false"/>
                <w:i w:val="false"/>
                <w:iCs w:val="false"/>
              </w:rPr>
              <w:t xml:space="preserve"> Backup, restore and recovery during live operation without corruption or disruption</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a backup is executed during live operation and data is restored without corruption or significant disruption. Backups are scheduled, encrypted, integrity-checked and replicated to immutable storage at the secondary environment, and restoration supports file, database, full system and point-in-time recovery with verification before service resumes.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12</w:t>
            </w:r>
            <w:r>
              <w:rPr>
                <w:b w:val="false"/>
                <w:bCs w:val="false"/>
                <w:i w:val="false"/>
                <w:iCs w:val="false"/>
              </w:rPr>
              <w:t xml:space="preserve"> Monitoring and alerting test: real-time alerts, dashboards, logs and metrics for troubleshooting</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confirms that alerts for failures, performance degradation and consumable thresholds reach operators in real time. Monitoring runs 24/7 on centralized dashboards, alerts are delivered on consoles and by email and SMS to designated NRB staff, and logs are aggregated centrally for troubleshooting.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13</w:t>
            </w:r>
            <w:r>
              <w:rPr>
                <w:b w:val="false"/>
                <w:bCs w:val="false"/>
                <w:i w:val="false"/>
                <w:iCs w:val="false"/>
              </w:rPr>
              <w:t xml:space="preserve"> Multi-shift test: two shifts, smooth handover, consistent throughput, no vendor dependency</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weeks 27 and 28 two NRB operator shifts run production with handover procedures, requiring no disruption at handover, consistent throughput and no dependency on the Supplier. Beforehand every operator is assessed competent on the deployed system, shift handover included, and coached in production until two shifts run without Supplier intervention.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7&quot;">
              <w:r>
                <w:rPr>
                  <w:rStyle w:val="Hyperlink"/>
                  <w:b w:val="false"/>
                  <w:bCs w:val="false"/>
                  <w:i w:val="false"/>
                  <w:iCs w:val="false"/>
                </w:rPr>
                <w:t xml:space="preserve">3.7</w:t>
              </w:r>
            </w:fldSimple>
            <w:r>
              <w:rPr>
                <w:b w:val="false"/>
                <w:bCs w:val="false"/>
                <w:i w:val="false"/>
                <w:iCs w:val="false"/>
              </w:rPr>
              <w:t xml:space="preserve">,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14</w:t>
            </w:r>
            <w:r>
              <w:rPr>
                <w:b w:val="false"/>
                <w:bCs w:val="false"/>
                <w:i w:val="false"/>
                <w:iCs w:val="false"/>
              </w:rPr>
              <w:t xml:space="preserve"> Consumables and inventory test: usage tracking, low-stock alerts, real-time inventory reports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verifies accurate consumables tracking, automated low-stock alerts, real-time inventory reports and no stoppage for want of stock. Stock Control holds every blank by serial number, tracks carriers, envelopes and other consumables against usage, and alerts against defined thresholds in time to reorder.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0&quot;">
              <w:r>
                <w:rPr>
                  <w:rStyle w:val="Hyperlink"/>
                  <w:b w:val="false"/>
                  <w:bCs w:val="false"/>
                  <w:i w:val="false"/>
                  <w:iCs w:val="false"/>
                </w:rPr>
                <w:t xml:space="preserve">6.10</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15</w:t>
            </w:r>
            <w:r>
              <w:rPr>
                <w:b w:val="false"/>
                <w:bCs w:val="false"/>
                <w:i w:val="false"/>
                <w:iCs w:val="false"/>
              </w:rPr>
              <w:t xml:space="preserve"> Reporting and SLA test: daily, weekly, monthly reports, correct SLA metrics, no log discrepancies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verifies daily, weekly and monthly reports, correct calculation of uptime, throughput and rejection rate, on-demand access for authorized users, and no discrepancy with the logs. Reports draw on the same production records that drive status feedback to NRIS, and are reconcilable against the system logs they derive from.</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7_13&quot;">
              <w:r>
                <w:rPr>
                  <w:rStyle w:val="Hyperlink"/>
                  <w:b w:val="false"/>
                  <w:bCs w:val="false"/>
                  <w:i w:val="false"/>
                  <w:iCs w:val="false"/>
                </w:rPr>
                <w:t xml:space="preserve">7.13</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16</w:t>
            </w:r>
            <w:r>
              <w:rPr>
                <w:b w:val="false"/>
                <w:bCs w:val="false"/>
                <w:i w:val="false"/>
                <w:iCs w:val="false"/>
              </w:rPr>
              <w:t xml:space="preserve"> Operational independence test: Purchaser staff operate the full system, vendor observing only</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28 NRB staff operate the full system, perform every routine task and handle minor faults with the Supplier observing only, and the operational manuals are validated. Training is built backwards from this test: every trainee is assessed competent on the deployed system, and NRB trainers are certified.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7&quot;">
              <w:r>
                <w:rPr>
                  <w:rStyle w:val="Hyperlink"/>
                  <w:b w:val="false"/>
                  <w:bCs w:val="false"/>
                  <w:i w:val="false"/>
                  <w:iCs w:val="false"/>
                </w:rPr>
                <w:t xml:space="preserve">3.7</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17</w:t>
            </w:r>
            <w:r>
              <w:rPr>
                <w:b w:val="false"/>
                <w:bCs w:val="false"/>
                <w:i w:val="false"/>
                <w:iCs w:val="false"/>
              </w:rPr>
              <w:t xml:space="preserve"> Final acceptance demonstration: continuous production over observation period, all KPIs met</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weeks 29 and 30 production runs continuously over a ten working day observation period, agreed at design approval, requiring availability of at least 99 percent, data accuracy of at least 99.99 percent, mailing accuracy of at least 99.5 percent and a reject rate of at most 1 percent. Formal acceptance is recorded at the week 30 gate.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2&quot;">
              <w:r>
                <w:rPr>
                  <w:rStyle w:val="Hyperlink"/>
                  <w:b w:val="false"/>
                  <w:bCs w:val="false"/>
                  <w:i w:val="false"/>
                  <w:iCs w:val="false"/>
                </w:rPr>
                <w:t xml:space="preserve">2.2</w:t>
              </w:r>
            </w:fldSimple>
            <w:r>
              <w:rPr>
                <w:b w:val="false"/>
                <w:bCs w:val="false"/>
                <w:i w:val="false"/>
                <w:iCs w:val="false"/>
              </w:rPr>
              <w:t xml:space="preserve">, </w:t>
            </w:r>
            <w:fldSimple w:instr="HYPERLINK &quot;Preliminary-Project-Plan-Information-System-Sub-Plans.docx&quot; \l &quot;sec_2_7&quot;">
              <w:r>
                <w:rPr>
                  <w:rStyle w:val="Hyperlink"/>
                  <w:b w:val="false"/>
                  <w:bCs w:val="false"/>
                  <w:i w:val="false"/>
                  <w:iCs w:val="false"/>
                </w:rPr>
                <w:t xml:space="preserve">2.7</w:t>
              </w:r>
            </w:fldSimple>
            <w:r>
              <w:rPr>
                <w:b w:val="false"/>
                <w:bCs w:val="false"/>
                <w:i w:val="false"/>
                <w:iCs w:val="false"/>
              </w:rPr>
              <w:t xml:space="preserve">,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bl>
    <w:p>
      <w:pPr>
        <w:pStyle w:val="Heading1"/>
        <w:pageBreakBefore/>
        <w:numPr>
          <w:ilvl w:val="0"/>
          <w:numId w:val="2"/>
        </w:numPr>
        <w:spacing w:after="140" w:before="240"/>
      </w:pPr>
      <w:r>
        <w:t xml:space="preserve">S</w:t>
      </w:r>
      <w:bookmarkStart w:name="sec_5" w:id="1"/>
      <w:r>
        <w:rPr>
          <w:b w:val="false"/>
          <w:bCs w:val="false"/>
          <w:i w:val="false"/>
          <w:iCs w:val="false"/>
        </w:rPr>
        <w:t xml:space="preserve">ervice Specifications, Recurrent Cost Items</w:t>
      </w:r>
      <w:bookmarkEnd w:id="1"/>
    </w:p>
    <w:p>
      <w:pPr>
        <w:pStyle w:val="Heading2"/>
        <w:numPr>
          <w:ilvl w:val="1"/>
          <w:numId w:val="2"/>
        </w:numPr>
        <w:spacing w:after="140" w:before="260"/>
      </w:pPr>
      <w:r>
        <w:t xml:space="preserve">W</w:t>
      </w:r>
      <w:bookmarkStart w:name="sec_5_1" w:id="1"/>
      <w:r>
        <w:rPr>
          <w:b w:val="false"/>
          <w:bCs w:val="false"/>
          <w:i w:val="false"/>
          <w:iCs w:val="false"/>
        </w:rPr>
        <w:t xml:space="preserve">arranty defect repair</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5570"/>
        <w:gridCol w:w="200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57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450"/>
            <w:tcMar>
              <w:top w:type="dxa" w:w="60"/>
              <w:left w:type="dxa" w:w="100"/>
              <w:bottom w:type="dxa" w:w="60"/>
              <w:right w:type="dxa" w:w="100"/>
            </w:tcMar>
          </w:tcPr>
          <w:p>
            <w:pPr>
              <w:spacing w:after="0" w:before="0"/>
            </w:pPr>
            <w:r>
              <w:rPr>
                <w:b/>
                <w:bCs/>
                <w:i w:val="false"/>
                <w:iCs w:val="false"/>
              </w:rPr>
              <w:t xml:space="preserve">5.1.1.1</w:t>
            </w:r>
            <w:r>
              <w:rPr>
                <w:b w:val="false"/>
                <w:bCs w:val="false"/>
                <w:i w:val="false"/>
                <w:iCs w:val="false"/>
              </w:rPr>
              <w:t xml:space="preserve"> Three-year warranty defect repair with response and resolution standards and service modes</w:t>
            </w:r>
          </w:p>
        </w:tc>
        <w:tc>
          <w:tcPr>
            <w:tcW w:type="dxa" w:w="5570"/>
            <w:tcMar>
              <w:top w:type="dxa" w:w="60"/>
              <w:left w:type="dxa" w:w="100"/>
              <w:bottom w:type="dxa" w:w="60"/>
              <w:right w:type="dxa" w:w="100"/>
            </w:tcMar>
          </w:tcPr>
          <w:p>
            <w:pPr>
              <w:spacing w:after="0" w:before="0"/>
            </w:pPr>
            <w:r>
              <w:rPr>
                <w:b w:val="false"/>
                <w:bCs w:val="false"/>
                <w:i w:val="false"/>
                <w:iCs w:val="false"/>
              </w:rPr>
              <w:t xml:space="preserve">Complies. Three years of warranty defect repair cover all equipment, systems, software and services supplied, repairing or replacing goods and correcting services at no cost, on the severity targets of Annex A to the Responses to Queries 003. Equipment and infrastructure are restored on site from spares, failed modules return to their manufacturer, and software is corrected on call. [CONFIRM: The S8000 and MS1000 datasheets state a one-year standard manufacturer warranty (S8000 extendable by one year). Inkript must confirm back-to-back three-year manufacturer coverage through the support agreement and the Manufacturer's Authorization. Warranty start also needs aligning: Final Acceptance in the proposal and SCC GCC 29.4, Operational Acceptance in clause 4.3.1.]</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4&quot;">
              <w:r>
                <w:rPr>
                  <w:rStyle w:val="Hyperlink"/>
                  <w:b w:val="false"/>
                  <w:bCs w:val="false"/>
                  <w:i w:val="false"/>
                  <w:iCs w:val="false"/>
                </w:rPr>
                <w:t xml:space="preserve">5.4</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Manufacturer's Authorization</w:t>
            </w:r>
          </w:p>
        </w:tc>
      </w:tr>
    </w:tbl>
    <w:p>
      <w:pPr>
        <w:spacing w:after="140"/>
      </w:pPr>
    </w:p>
    <w:p>
      <w:pPr>
        <w:pStyle w:val="Heading2"/>
        <w:numPr>
          <w:ilvl w:val="1"/>
          <w:numId w:val="2"/>
        </w:numPr>
        <w:spacing w:after="140" w:before="260"/>
      </w:pPr>
      <w:r>
        <w:t xml:space="preserve">T</w:t>
      </w:r>
      <w:bookmarkStart w:name="sec_5_2" w:id="1"/>
      <w:r>
        <w:rPr>
          <w:b w:val="false"/>
          <w:bCs w:val="false"/>
          <w:i w:val="false"/>
          <w:iCs w:val="false"/>
        </w:rPr>
        <w:t xml:space="preserve">echnical support</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349"/>
        <w:gridCol w:w="2001"/>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349"/>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670"/>
            <w:tcMar>
              <w:top w:type="dxa" w:w="60"/>
              <w:left w:type="dxa" w:w="100"/>
              <w:bottom w:type="dxa" w:w="60"/>
              <w:right w:type="dxa" w:w="100"/>
            </w:tcMar>
          </w:tcPr>
          <w:p>
            <w:pPr>
              <w:spacing w:after="0" w:before="0"/>
            </w:pPr>
            <w:r>
              <w:rPr>
                <w:b/>
                <w:bCs/>
                <w:i w:val="false"/>
                <w:iCs w:val="false"/>
              </w:rPr>
              <w:t xml:space="preserve">5.2.1.1</w:t>
            </w:r>
            <w:r>
              <w:rPr>
                <w:b w:val="false"/>
                <w:bCs w:val="false"/>
                <w:i w:val="false"/>
                <w:iCs w:val="false"/>
              </w:rPr>
              <w:t xml:space="preserve"> User support and hotline available 24x7</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A user support hotline operates 24 hours a day, seven days a week, through the warranty and post-warranty periods. Every incident, by telephone, email or service desk, is logged with a reference, severity and owner, and response time runs from logging: 30 minutes for Severity 1 and one hour for Severity 2, at any hour.</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2&quot;">
              <w:r>
                <w:rPr>
                  <w:rStyle w:val="Hyperlink"/>
                  <w:b w:val="false"/>
                  <w:bCs w:val="false"/>
                  <w:i w:val="false"/>
                  <w:iCs w:val="false"/>
                </w:rPr>
                <w:t xml:space="preserve">5.2</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r>
        <w:tc>
          <w:tcPr>
            <w:tcW w:type="dxa" w:w="1670"/>
            <w:tcMar>
              <w:top w:type="dxa" w:w="60"/>
              <w:left w:type="dxa" w:w="100"/>
              <w:bottom w:type="dxa" w:w="60"/>
              <w:right w:type="dxa" w:w="100"/>
            </w:tcMar>
          </w:tcPr>
          <w:p>
            <w:pPr>
              <w:spacing w:after="0" w:before="0"/>
            </w:pPr>
            <w:r>
              <w:rPr>
                <w:b/>
                <w:bCs/>
                <w:i w:val="false"/>
                <w:iCs w:val="false"/>
              </w:rPr>
              <w:t xml:space="preserve">5.2.1.2</w:t>
            </w:r>
            <w:r>
              <w:rPr>
                <w:b w:val="false"/>
                <w:bCs w:val="false"/>
                <w:i w:val="false"/>
                <w:iCs w:val="false"/>
              </w:rPr>
              <w:t xml:space="preserve"> Level 2 and Level 3 technical assistance with OEE, MTTR, MTBF and PMC KPIs</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Level 2 is the technical team in Lilongwe; Level 3 is the equipment manufacturer's product line specialists and the Supplier's senior engineers. Targets follow Annex A to the Responses to Queries 003: OEE 85 percent (monthly minimum 80), MTTR 4 hours for critical faults, MTBF at least 90 percent of manufacturer figures, PMC 95 percent monthly. [CONFIRM: </w:t>
            </w:r>
            <w:r>
              <w:rPr>
                <w:b w:val="false"/>
                <w:bCs w:val="false"/>
                <w:i w:val="false"/>
                <w:iCs w:val="false"/>
              </w:rPr>
              <w:t xml:space="preserve">Preliminary Project Plan Section </w:t>
            </w:r>
            <w:fldSimple w:instr="HYPERLINK &quot;Preliminary-Project-Plan-Information-System-Sub-Plans.docx&quot; \l &quot;sec_5_2&quot;">
              <w:r>
                <w:rPr>
                  <w:rStyle w:val="Hyperlink"/>
                  <w:b w:val="false"/>
                  <w:bCs w:val="false"/>
                  <w:i w:val="false"/>
                  <w:iCs w:val="false"/>
                </w:rPr>
                <w:t xml:space="preserve">5.2</w:t>
              </w:r>
            </w:fldSimple>
            <w:r>
              <w:rPr>
                <w:b w:val="false"/>
                <w:bCs w:val="false"/>
                <w:i w:val="false"/>
                <w:iCs w:val="false"/>
              </w:rPr>
              <w:t xml:space="preserve"> says the manufacturer's Level 3 support agreement covers the warranty period only; confirm it extends to post-warranty maintenance. The MTBF target depends on the manufacturer's specified MTBF figures, which are not in the datasheets and must be obtained.]</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Preliminary-Project-Plan-Information-System-Sub-Plans.docx&quot; \l &quot;sec_5_3&quot;">
              <w:r>
                <w:rPr>
                  <w:rStyle w:val="Hyperlink"/>
                  <w:b w:val="false"/>
                  <w:bCs w:val="false"/>
                  <w:i w:val="false"/>
                  <w:iCs w:val="false"/>
                </w:rPr>
                <w:t xml:space="preserve">5.3</w:t>
              </w:r>
            </w:fldSimple>
          </w:p>
        </w:tc>
      </w:tr>
      <w:tr>
        <w:tc>
          <w:tcPr>
            <w:tcW w:type="dxa" w:w="1670"/>
            <w:tcMar>
              <w:top w:type="dxa" w:w="60"/>
              <w:left w:type="dxa" w:w="100"/>
              <w:bottom w:type="dxa" w:w="60"/>
              <w:right w:type="dxa" w:w="100"/>
            </w:tcMar>
          </w:tcPr>
          <w:p>
            <w:pPr>
              <w:spacing w:after="0" w:before="0"/>
            </w:pPr>
            <w:r>
              <w:rPr>
                <w:b/>
                <w:bCs/>
                <w:i w:val="false"/>
                <w:iCs w:val="false"/>
              </w:rPr>
              <w:t xml:space="preserve">5.2.1.3</w:t>
            </w:r>
            <w:r>
              <w:rPr>
                <w:b w:val="false"/>
                <w:bCs w:val="false"/>
                <w:i w:val="false"/>
                <w:iCs w:val="false"/>
              </w:rPr>
              <w:t xml:space="preserve"> Three-year renewable post-warranty maintenance with response, resolution standards and service modes</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Post-warranty maintenance runs for three years after the warranty period, renewable, on the same response and resolution standards and modes of service: on-site module replacement from site spares, return of failed modules to the manufacturer for repair, and on-call remote or on-site software correction. Availability of at least 99 percent applies throughout, reported monthly.</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6&quot;">
              <w:r>
                <w:rPr>
                  <w:rStyle w:val="Hyperlink"/>
                  <w:b w:val="false"/>
                  <w:bCs w:val="false"/>
                  <w:i w:val="false"/>
                  <w:iCs w:val="false"/>
                </w:rPr>
                <w:t xml:space="preserve">5.6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bl>
    <w:p>
      <w:pPr>
        <w:spacing w:after="140"/>
      </w:pPr>
    </w:p>
    <w:p>
      <w:pPr>
        <w:pStyle w:val="Heading2"/>
        <w:numPr>
          <w:ilvl w:val="1"/>
          <w:numId w:val="2"/>
        </w:numPr>
        <w:spacing w:after="140" w:before="260"/>
      </w:pPr>
      <w:r>
        <w:t xml:space="preserve">R</w:t>
      </w:r>
      <w:bookmarkStart w:name="sec_5_3" w:id="1"/>
      <w:r>
        <w:rPr>
          <w:b w:val="false"/>
          <w:bCs w:val="false"/>
          <w:i w:val="false"/>
          <w:iCs w:val="false"/>
        </w:rPr>
        <w:t xml:space="preserve">equirements of the Supplier's technical team</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50"/>
        <w:gridCol w:w="4470"/>
        <w:gridCol w:w="2000"/>
      </w:tblGrid>
      <w:tr>
        <w:trPr>
          <w:tblHeader/>
        </w:trPr>
        <w:tc>
          <w:tcPr>
            <w:tcW w:type="dxa" w:w="25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47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550"/>
            <w:tcMar>
              <w:top w:type="dxa" w:w="60"/>
              <w:left w:type="dxa" w:w="100"/>
              <w:bottom w:type="dxa" w:w="60"/>
              <w:right w:type="dxa" w:w="100"/>
            </w:tcMar>
          </w:tcPr>
          <w:p>
            <w:pPr>
              <w:spacing w:after="0" w:before="0"/>
            </w:pPr>
            <w:r>
              <w:rPr>
                <w:b/>
                <w:bCs/>
                <w:i w:val="false"/>
                <w:iCs w:val="false"/>
              </w:rPr>
              <w:t xml:space="preserve">5.3.1</w:t>
            </w:r>
            <w:r>
              <w:rPr>
                <w:b w:val="false"/>
                <w:bCs w:val="false"/>
                <w:i w:val="false"/>
                <w:iCs w:val="false"/>
              </w:rPr>
              <w:t xml:space="preserve"> Technical team for post-acceptance assistance, including legislative modifications, at inventory-table quantities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A technical team of the five specified roles, each meeting its role's qualifications, covers post-Operational Acceptance technical assistance from Lilongwe, giving two-hour on-site attendance for critical incidents. Modifications, such as those for changes in legislation or regulation, go through the Contract's change procedure and are then delivered under change control. [CONFIRM: The proposal documents do not state the input quantities per role. Confirm that the System Inventory Tables for Recurrent Cost Items are completed at not less than the Purchaser's minimum quantities (in the Financial Part only, since no pricing may appear in the Technical Part).]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5_2&quot;">
              <w:r>
                <w:rPr>
                  <w:rStyle w:val="Hyperlink"/>
                  <w:b w:val="false"/>
                  <w:bCs w:val="false"/>
                  <w:i w:val="false"/>
                  <w:iCs w:val="false"/>
                </w:rPr>
                <w:t xml:space="preserve">5.2</w:t>
              </w:r>
            </w:fldSimple>
            <w:r>
              <w:rPr>
                <w:b w:val="false"/>
                <w:bCs w:val="false"/>
                <w:i w:val="false"/>
                <w:iCs w:val="false"/>
              </w:rPr>
              <w:t xml:space="preserve">; </w:t>
            </w:r>
            <w:r>
              <w:rPr>
                <w:b w:val="false"/>
                <w:bCs w:val="false"/>
                <w:i w:val="false"/>
                <w:iCs w:val="false"/>
              </w:rPr>
              <w:t xml:space="preserve">Change Management Plan Section </w:t>
            </w:r>
            <w:fldSimple w:instr="HYPERLINK &quot;Change-Management-Plan.docx&quot; \l &quot;sec_5_3&quot;">
              <w:r>
                <w:rPr>
                  <w:rStyle w:val="Hyperlink"/>
                  <w:b w:val="false"/>
                  <w:bCs w:val="false"/>
                  <w:i w:val="false"/>
                  <w:iCs w:val="false"/>
                </w:rPr>
                <w:t xml:space="preserve">5.3</w:t>
              </w:r>
            </w:fldSimple>
          </w:p>
        </w:tc>
      </w:tr>
      <w:tr>
        <w:tc>
          <w:tcPr>
            <w:tcW w:type="dxa" w:w="2550"/>
            <w:tcMar>
              <w:top w:type="dxa" w:w="60"/>
              <w:left w:type="dxa" w:w="100"/>
              <w:bottom w:type="dxa" w:w="60"/>
              <w:right w:type="dxa" w:w="100"/>
            </w:tcMar>
          </w:tcPr>
          <w:p>
            <w:pPr>
              <w:spacing w:after="0" w:before="0"/>
            </w:pPr>
            <w:r>
              <w:rPr>
                <w:b/>
                <w:bCs/>
                <w:i w:val="false"/>
                <w:iCs w:val="false"/>
              </w:rPr>
              <w:t xml:space="preserve">5.3.1.1</w:t>
            </w:r>
            <w:r>
              <w:rPr>
                <w:b w:val="false"/>
                <w:bCs w:val="false"/>
                <w:i w:val="false"/>
                <w:iCs w:val="false"/>
              </w:rPr>
              <w:t xml:space="preserve"> CPF Infrastructure Engineer: relevant degree; 5 years data center, integration, high availability; CCNA/CCNP, OEM certifications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Card Production Facility Infrastructure Engineer holds a degree in computer engineering, IT or electrical engineering, Cisco CCNA or CCNP and relevant manufacturer certifications, with at least five years in data center and high availability systems. The role leads the hardened platform, secondary environment, backup and recovery, and trains NRB staff on the clusters, storage array and database. [CONFIRM: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leaves out the hardware and software integration experience the clause requires, and no document states that the role supports the personalization, mailing and dispatch system integrated with NRIS and the operational environment. The named candidate's CV and certificates must show the integration experience, the CCNA or CCNP and the manufacturer certificates.]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Candidate Summary and CV</w:t>
            </w:r>
          </w:p>
        </w:tc>
      </w:tr>
      <w:tr>
        <w:tc>
          <w:tcPr>
            <w:tcW w:type="dxa" w:w="2550"/>
            <w:tcMar>
              <w:top w:type="dxa" w:w="60"/>
              <w:left w:type="dxa" w:w="100"/>
              <w:bottom w:type="dxa" w:w="60"/>
              <w:right w:type="dxa" w:w="100"/>
            </w:tcMar>
          </w:tcPr>
          <w:p>
            <w:pPr>
              <w:spacing w:after="0" w:before="0"/>
            </w:pPr>
            <w:r>
              <w:rPr>
                <w:b/>
                <w:bCs/>
                <w:i w:val="false"/>
                <w:iCs w:val="false"/>
              </w:rPr>
              <w:t xml:space="preserve">5.3.1.2</w:t>
            </w:r>
            <w:r>
              <w:rPr>
                <w:b w:val="false"/>
                <w:bCs w:val="false"/>
                <w:i w:val="false"/>
                <w:iCs w:val="false"/>
              </w:rPr>
              <w:t xml:space="preserve"> ID Card Security Specialist: degree or diploma, ACE-M and PKI certifications, 5 years polycarbonate card security</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ID Card Security Specialist holds a degree or diploma in computer science or information security, ACE-M and PKI certifications, and at least five years implementing multilayer polycarbonate card security. The specialist also trains NRB staff on quality assurance and the inspection of card security features, such as the UV, deliberate error, tactile laser and signed QR elements. [CONFIRM: The documents do not state the candidate's experience in encryption systems, covert and forensic security, and tactile and laser-Braille elements. The CV must evidence these, and copies of the ACE-M and PKI certificates must be attached.]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Candidate Summary and CV</w:t>
            </w:r>
          </w:p>
        </w:tc>
      </w:tr>
      <w:tr>
        <w:tc>
          <w:tcPr>
            <w:tcW w:type="dxa" w:w="2550"/>
            <w:tcMar>
              <w:top w:type="dxa" w:w="60"/>
              <w:left w:type="dxa" w:w="100"/>
              <w:bottom w:type="dxa" w:w="60"/>
              <w:right w:type="dxa" w:w="100"/>
            </w:tcMar>
          </w:tcPr>
          <w:p>
            <w:pPr>
              <w:spacing w:after="0" w:before="0"/>
            </w:pPr>
            <w:r>
              <w:rPr>
                <w:b/>
                <w:bCs/>
                <w:i w:val="false"/>
                <w:iCs w:val="false"/>
              </w:rPr>
              <w:t xml:space="preserve">5.3.1.3</w:t>
            </w:r>
            <w:r>
              <w:rPr>
                <w:b w:val="false"/>
                <w:bCs w:val="false"/>
                <w:i w:val="false"/>
                <w:iCs w:val="false"/>
              </w:rPr>
              <w:t xml:space="preserve"> Facilities/Electrical Engineer: engineering degree, 7 years critical infrastructure, UPS, HVAC, generators, fire suppression</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post-Operational Acceptance technical team includes a Facilities and Electrical Engineer meeting the qualification and certification requirements set for the role. The facility systems the role supports are those the Information System relies on: UPS, generator with automatic transfer, HVAC and precision cooling, clean agent fire suppression and physical security installations. [GAP: The role is only named in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No qualifications, experience, scope or candidate appear anywhere, and the role is missing from the table in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Add the role with its degree, seven years in critical infrastructure, and UPS, HVAC, generator, fire suppression and secure facility experience, and provide the CV (the same role is key personnel under clause 2.4.1.10).]</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Candidate Summary and CV</w:t>
            </w:r>
          </w:p>
        </w:tc>
      </w:tr>
      <w:tr>
        <w:tc>
          <w:tcPr>
            <w:tcW w:type="dxa" w:w="2550"/>
            <w:tcMar>
              <w:top w:type="dxa" w:w="60"/>
              <w:left w:type="dxa" w:w="100"/>
              <w:bottom w:type="dxa" w:w="60"/>
              <w:right w:type="dxa" w:w="100"/>
            </w:tcMar>
          </w:tcPr>
          <w:p>
            <w:pPr>
              <w:spacing w:after="0" w:before="0"/>
            </w:pPr>
            <w:r>
              <w:rPr>
                <w:b/>
                <w:bCs/>
                <w:i w:val="false"/>
                <w:iCs w:val="false"/>
              </w:rPr>
              <w:t xml:space="preserve">5.3.1.4</w:t>
            </w:r>
            <w:r>
              <w:rPr>
                <w:b w:val="false"/>
                <w:bCs w:val="false"/>
                <w:i w:val="false"/>
                <w:iCs w:val="false"/>
              </w:rPr>
              <w:t xml:space="preserve"> Network Engineer: relevant degree or diploma, CCNA and CCNP, 5 years VLANs, firewalls, redundancy</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Network Engineer holds a degree or diploma in computer science, network engineering or telecommunications, CCNA and CCNP, and at least five years on VLANs, firewalls and secure government networks. The role covers the zone VLANs, firewall policy and wide area links, including the redundant core switch and firewall pairs. [CONFIRM: The documents do not mention network redundancy experience or Fortinet or Palo Alto certification (an added advantage). The candidate's CV should show the first and state the second if held.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engages the Network Engineer for design and weeks 15 to 23 only; align it with the post-Operational Acceptance technical team in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Attachment: Candidate Summary and CV</w:t>
            </w:r>
          </w:p>
        </w:tc>
      </w:tr>
      <w:tr>
        <w:tc>
          <w:tcPr>
            <w:tcW w:type="dxa" w:w="2550"/>
            <w:tcMar>
              <w:top w:type="dxa" w:w="60"/>
              <w:left w:type="dxa" w:w="100"/>
              <w:bottom w:type="dxa" w:w="60"/>
              <w:right w:type="dxa" w:w="100"/>
            </w:tcMar>
          </w:tcPr>
          <w:p>
            <w:pPr>
              <w:spacing w:after="0" w:before="0"/>
            </w:pPr>
            <w:r>
              <w:rPr>
                <w:b/>
                <w:bCs/>
                <w:i w:val="false"/>
                <w:iCs w:val="false"/>
              </w:rPr>
              <w:t xml:space="preserve">5.3.1.5</w:t>
            </w:r>
            <w:r>
              <w:rPr>
                <w:b w:val="false"/>
                <w:bCs w:val="false"/>
                <w:i w:val="false"/>
                <w:iCs w:val="false"/>
              </w:rPr>
              <w:t xml:space="preserve"> Cybersecurity and PKI Specialist: relevant degree, 7 years, CISSP, CISM, CEH, 3 years identity or PKI</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Cybersecurity and PKI Specialist holds a degree in cybersecurity, computer science or information security, CISSP, CISM and CEH, and at least seven years in cybersecurity including three in identity management or PKI, with experience of hardware security modules, encryption and digital certificates. The role provides Level 2 security support through the warranty period. [CONFIRM: The documents do not mention experience with access control systems, which the clause requires, or a PKI certification (added advantage). The CV must evidence access control systems experience, and certificate copies must be attached.]</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Candidate Summary and CV</w:t>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Technical Responsiveness Checklist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Responsiveness Checklist</dc:title>
  <dc:creator>Inkript</dc:creator>
  <cp:lastModifiedBy>Un-named</cp:lastModifiedBy>
  <cp:revision>1</cp:revision>
  <dcterms:created xsi:type="dcterms:W3CDTF">2026-10-07T08:03:18.944Z</dcterms:created>
  <dcterms:modified xsi:type="dcterms:W3CDTF">2026-10-07T08:03:18.944Z</dcterms:modified>
</cp:coreProperties>
</file>

<file path=docProps/custom.xml><?xml version="1.0" encoding="utf-8"?>
<Properties xmlns="http://schemas.openxmlformats.org/officeDocument/2006/custom-properties" xmlns:vt="http://schemas.openxmlformats.org/officeDocument/2006/docPropsVTypes"/>
</file>