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2"/>
      <w:r>
        <w:rPr>
          <w:b w:val="false"/>
          <w:bCs w:val="false"/>
          <w:i w:val="false"/>
          <w:iCs w:val="false"/>
        </w:rPr>
        <w:t xml:space="preserve">urpose and scope</w:t>
      </w:r>
      <w:bookmarkEnd w:id="2"/>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23"/>
        <w:gridCol w:w="2207"/>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23"/>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07"/>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23"/>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hyperlink w:history="1" w:anchor="sec_1_2">
              <w:r>
                <w:rPr>
                  <w:b w:val="false"/>
                  <w:bCs w:val="false"/>
                  <w:i w:val="false"/>
                  <w:iCs w:val="false"/>
                </w:rPr>
                <w:t xml:space="preserve">1.2</w:t>
              </w:r>
            </w:hyperlink>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3_2">
              <w:r>
                <w:rPr>
                  <w:b w:val="false"/>
                  <w:bCs w:val="false"/>
                  <w:i w:val="false"/>
                  <w:iCs w:val="false"/>
                </w:rPr>
                <w:t xml:space="preserve">3.2</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3_1">
              <w:r>
                <w:rPr>
                  <w:b w:val="false"/>
                  <w:bCs w:val="false"/>
                  <w:i w:val="false"/>
                  <w:iCs w:val="false"/>
                </w:rPr>
                <w:t xml:space="preserve">3.1</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23"/>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4_3">
              <w:r>
                <w:rPr>
                  <w:b w:val="false"/>
                  <w:bCs w:val="false"/>
                  <w:i w:val="false"/>
                  <w:iCs w:val="false"/>
                </w:rPr>
                <w:t xml:space="preserve">4.3</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hyperlink w:history="1" w:anchor="sec_4_2">
              <w:r>
                <w:rPr>
                  <w:b w:val="false"/>
                  <w:bCs w:val="false"/>
                  <w:i w:val="false"/>
                  <w:iCs w:val="false"/>
                </w:rPr>
                <w:t xml:space="preserve">4.2</w:t>
              </w:r>
            </w:hyperlink>
            <w:r>
              <w:rPr>
                <w:b w:val="false"/>
                <w:bCs w:val="false"/>
                <w:i w:val="false"/>
                <w:iCs w:val="false"/>
              </w:rPr>
              <w:t xml:space="preserve"> and </w:t>
            </w:r>
            <w:hyperlink w:history="1" w:anchor="sec_4_4">
              <w:r>
                <w:rPr>
                  <w:b w:val="false"/>
                  <w:bCs w:val="false"/>
                  <w:i w:val="false"/>
                  <w:iCs w:val="false"/>
                </w:rPr>
                <w:t xml:space="preserve">4.4</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and </w:t>
            </w:r>
            <w:hyperlink w:history="1" w:anchor="sec_11_1">
              <w:r>
                <w:rPr>
                  <w:b w:val="false"/>
                  <w:bCs w:val="false"/>
                  <w:i w:val="false"/>
                  <w:iCs w:val="false"/>
                </w:rPr>
                <w:t xml:space="preserve">11.1</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9_1">
              <w:r>
                <w:rPr>
                  <w:b w:val="false"/>
                  <w:bCs w:val="false"/>
                  <w:i w:val="false"/>
                  <w:iCs w:val="false"/>
                </w:rPr>
                <w:t xml:space="preserve">9.1</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9_3">
              <w:r>
                <w:rPr>
                  <w:b w:val="false"/>
                  <w:bCs w:val="false"/>
                  <w:i w:val="false"/>
                  <w:iCs w:val="false"/>
                </w:rPr>
                <w:t xml:space="preserve">9.3</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9_4">
              <w:r>
                <w:rPr>
                  <w:b w:val="false"/>
                  <w:bCs w:val="false"/>
                  <w:i w:val="false"/>
                  <w:iCs w:val="false"/>
                </w:rPr>
                <w:t xml:space="preserve">9.4</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9_2">
              <w:r>
                <w:rPr>
                  <w:b w:val="false"/>
                  <w:bCs w:val="false"/>
                  <w:i w:val="false"/>
                  <w:iCs w:val="false"/>
                </w:rPr>
                <w:t xml:space="preserve">9.2</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hyperlink w:history="1" w:anchor="sec_11_2">
              <w:r>
                <w:rPr>
                  <w:b w:val="false"/>
                  <w:bCs w:val="false"/>
                  <w:i w:val="false"/>
                  <w:iCs w:val="false"/>
                </w:rPr>
                <w:t xml:space="preserve">11.2</w:t>
              </w:r>
            </w:hyperlink>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23"/>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3"/>
      <w:r>
        <w:rPr>
          <w:b w:val="false"/>
          <w:bCs w:val="false"/>
          <w:i w:val="false"/>
          <w:iCs w:val="false"/>
        </w:rPr>
        <w:t xml:space="preserve">rameworks and method</w:t>
      </w:r>
      <w:bookmarkEnd w:id="3"/>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hyperlink w:history="1" w:anchor="sec_3_2">
        <w:r>
          <w:rPr>
            <w:b w:val="false"/>
            <w:bCs w:val="false"/>
            <w:i w:val="false"/>
            <w:iCs w:val="false"/>
          </w:rPr>
          <w:t xml:space="preserve">3.2</w:t>
        </w:r>
      </w:hyperlink>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The information security management system of Inkript, the joint venture member responsible for the Information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4"/>
      <w:r>
        <w:rPr>
          <w:b w:val="false"/>
          <w:bCs w:val="false"/>
          <w:i w:val="false"/>
          <w:iCs w:val="false"/>
        </w:rPr>
        <w:t xml:space="preserve">overnance</w:t>
      </w:r>
      <w:bookmarkEnd w:id="4"/>
    </w:p>
    <w:p>
      <w:pPr>
        <w:pStyle w:val="Heading2"/>
        <w:numPr>
          <w:ilvl w:val="1"/>
          <w:numId w:val="2"/>
        </w:numPr>
        <w:spacing w:after="140" w:before="260"/>
      </w:pPr>
      <w:r>
        <w:t xml:space="preserve">G</w:t>
      </w:r>
      <w:bookmarkStart w:name="sec_2_1" w:id="5"/>
      <w:r>
        <w:rPr>
          <w:b w:val="false"/>
          <w:bCs w:val="false"/>
          <w:i w:val="false"/>
          <w:iCs w:val="false"/>
        </w:rPr>
        <w:t xml:space="preserve">overnance and decision rights</w:t>
      </w:r>
      <w:bookmarkEnd w:id="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The Supplier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6"/>
      <w:r>
        <w:rPr>
          <w:b w:val="false"/>
          <w:bCs w:val="false"/>
          <w:i w:val="false"/>
          <w:iCs w:val="false"/>
        </w:rPr>
        <w:t xml:space="preserve">ecurity policies</w:t>
      </w:r>
      <w:bookmarkEnd w:id="6"/>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7"/>
      <w:r>
        <w:rPr>
          <w:b w:val="false"/>
          <w:bCs w:val="false"/>
          <w:i w:val="false"/>
          <w:iCs w:val="false"/>
        </w:rPr>
        <w:t xml:space="preserve">rchitecture and Framework Compliance</w:t>
      </w:r>
      <w:bookmarkEnd w:id="7"/>
    </w:p>
    <w:p>
      <w:pPr>
        <w:pStyle w:val="Heading2"/>
        <w:numPr>
          <w:ilvl w:val="1"/>
          <w:numId w:val="2"/>
        </w:numPr>
        <w:spacing w:after="140" w:before="260"/>
      </w:pPr>
      <w:r>
        <w:t xml:space="preserve">C</w:t>
      </w:r>
      <w:bookmarkStart w:name="sec_3_1" w:id="8"/>
      <w:r>
        <w:rPr>
          <w:b w:val="false"/>
          <w:bCs w:val="false"/>
          <w:i w:val="false"/>
          <w:iCs w:val="false"/>
        </w:rPr>
        <w:t xml:space="preserve">ybersecurity architecture</w:t>
      </w:r>
      <w:bookmarkEnd w:id="8"/>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9"/>
      <w:r>
        <w:rPr>
          <w:b w:val="false"/>
          <w:bCs w:val="false"/>
          <w:i w:val="false"/>
          <w:iCs w:val="false"/>
        </w:rPr>
        <w:t xml:space="preserve">ramework compliance matrix</w:t>
      </w:r>
      <w:bookmarkEnd w:id="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hyperlink w:history="1" w:anchor="sec_4_2">
              <w:r>
                <w:rPr>
                  <w:b w:val="false"/>
                  <w:bCs w:val="false"/>
                  <w:i w:val="false"/>
                  <w:iCs w:val="false"/>
                </w:rPr>
                <w:t xml:space="preserve">4.2</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hyperlink w:history="1" w:anchor="sec_2_1">
              <w:r>
                <w:rPr>
                  <w:b w:val="false"/>
                  <w:bCs w:val="false"/>
                  <w:i w:val="false"/>
                  <w:iCs w:val="false"/>
                </w:rPr>
                <w:t xml:space="preserve">2.1</w:t>
              </w:r>
            </w:hyperlink>
            <w:r>
              <w:rPr>
                <w:b w:val="false"/>
                <w:bCs w:val="false"/>
                <w:i w:val="false"/>
                <w:iCs w:val="false"/>
              </w:rPr>
              <w:t xml:space="preserve">; qualified personnel, </w:t>
            </w:r>
            <w:r>
              <w:rPr>
                <w:b w:val="false"/>
                <w:bCs w:val="false"/>
                <w:i w:val="false"/>
                <w:iCs w:val="false"/>
              </w:rPr>
              <w:t xml:space="preserve">Section </w:t>
            </w:r>
            <w:hyperlink w:history="1" w:anchor="sec_9_3">
              <w:r>
                <w:rPr>
                  <w:b w:val="false"/>
                  <w:bCs w:val="false"/>
                  <w:i w:val="false"/>
                  <w:iCs w:val="false"/>
                </w:rPr>
                <w:t xml:space="preserve">9.3</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hyperlink w:history="1" w:anchor="sec_2_2">
              <w:r>
                <w:rPr>
                  <w:b w:val="false"/>
                  <w:bCs w:val="false"/>
                  <w:i w:val="false"/>
                  <w:iCs w:val="false"/>
                </w:rPr>
                <w:t xml:space="preserve">2.2</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hyperlink w:history="1" w:anchor="sec_6_3">
              <w:r>
                <w:rPr>
                  <w:b w:val="false"/>
                  <w:bCs w:val="false"/>
                  <w:i w:val="false"/>
                  <w:iCs w:val="false"/>
                </w:rPr>
                <w:t xml:space="preserve">6.3</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hyperlink w:history="1" w:anchor="sec_6_1">
              <w:r>
                <w:rPr>
                  <w:b w:val="false"/>
                  <w:bCs w:val="false"/>
                  <w:i w:val="false"/>
                  <w:iCs w:val="false"/>
                </w:rPr>
                <w:t xml:space="preserve">6.1</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hyperlink w:history="1" w:anchor="sec_6_1">
              <w:r>
                <w:rPr>
                  <w:b w:val="false"/>
                  <w:bCs w:val="false"/>
                  <w:i w:val="false"/>
                  <w:iCs w:val="false"/>
                </w:rPr>
                <w:t xml:space="preserve">6.1</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hyperlink w:history="1" w:anchor="sec_9_4">
              <w:r>
                <w:rPr>
                  <w:b w:val="false"/>
                  <w:bCs w:val="false"/>
                  <w:i w:val="false"/>
                  <w:iCs w:val="false"/>
                </w:rPr>
                <w:t xml:space="preserve">9.4</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hyperlink w:history="1" w:anchor="sec_7_2">
              <w:r>
                <w:rPr>
                  <w:b w:val="false"/>
                  <w:bCs w:val="false"/>
                  <w:i w:val="false"/>
                  <w:iCs w:val="false"/>
                </w:rPr>
                <w:t xml:space="preserve">7.2</w:t>
              </w:r>
            </w:hyperlink>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hyperlink w:history="1" w:anchor="sec_7_4">
              <w:r>
                <w:rPr>
                  <w:b w:val="false"/>
                  <w:bCs w:val="false"/>
                  <w:i w:val="false"/>
                  <w:iCs w:val="false"/>
                </w:rPr>
                <w:t xml:space="preserve">7.4</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hyperlink w:history="1" w:anchor="sec_7_3">
              <w:r>
                <w:rPr>
                  <w:b w:val="false"/>
                  <w:bCs w:val="false"/>
                  <w:i w:val="false"/>
                  <w:iCs w:val="false"/>
                </w:rPr>
                <w:t xml:space="preserve">7.3</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hyperlink w:history="1" w:anchor="sec_8_2">
              <w:r>
                <w:rPr>
                  <w:b w:val="false"/>
                  <w:bCs w:val="false"/>
                  <w:i w:val="false"/>
                  <w:iCs w:val="false"/>
                </w:rPr>
                <w:t xml:space="preserve">8.2</w:t>
              </w:r>
            </w:hyperlink>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0"/>
      <w:r>
        <w:rPr>
          <w:b w:val="false"/>
          <w:bCs w:val="false"/>
          <w:i w:val="false"/>
          <w:iCs w:val="false"/>
        </w:rPr>
        <w:t xml:space="preserve">isk Assessment</w:t>
      </w:r>
      <w:bookmarkEnd w:id="10"/>
    </w:p>
    <w:p>
      <w:pPr>
        <w:pStyle w:val="Heading2"/>
        <w:numPr>
          <w:ilvl w:val="1"/>
          <w:numId w:val="2"/>
        </w:numPr>
        <w:spacing w:after="140" w:before="260"/>
      </w:pPr>
      <w:r>
        <w:t xml:space="preserve">M</w:t>
      </w:r>
      <w:bookmarkStart w:name="sec_4_1" w:id="11"/>
      <w:r>
        <w:rPr>
          <w:b w:val="false"/>
          <w:bCs w:val="false"/>
          <w:i w:val="false"/>
          <w:iCs w:val="false"/>
        </w:rPr>
        <w:t xml:space="preserve">ethod</w:t>
      </w:r>
      <w:bookmarkEnd w:id="1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hyperlink w:history="1" w:anchor="sec_4_2">
        <w:r>
          <w:rPr>
            <w:b w:val="false"/>
            <w:bCs w:val="false"/>
            <w:i w:val="false"/>
            <w:iCs w:val="false"/>
          </w:rPr>
          <w:t xml:space="preserve">4.2</w:t>
        </w:r>
      </w:hyperlink>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hyperlink w:history="1" w:anchor="sec_5_2">
        <w:r>
          <w:rPr>
            <w:b w:val="false"/>
            <w:bCs w:val="false"/>
            <w:i w:val="false"/>
            <w:iCs w:val="false"/>
          </w:rPr>
          <w:t xml:space="preserve">5.2</w:t>
        </w:r>
      </w:hyperlink>
      <w:r>
        <w:rPr>
          <w:b w:val="false"/>
          <w:bCs w:val="false"/>
          <w:i w:val="false"/>
          <w:iCs w:val="false"/>
        </w:rPr>
        <w:t xml:space="preserve">, recorded in the template in </w:t>
      </w:r>
      <w:r>
        <w:rPr>
          <w:b w:val="false"/>
          <w:bCs w:val="false"/>
          <w:i w:val="false"/>
          <w:iCs w:val="false"/>
        </w:rPr>
        <w:t xml:space="preserve">Section </w:t>
      </w:r>
      <w:hyperlink w:history="1" w:anchor="sec_5_3">
        <w:r>
          <w:rPr>
            <w:b w:val="false"/>
            <w:bCs w:val="false"/>
            <w:i w:val="false"/>
            <w:iCs w:val="false"/>
          </w:rPr>
          <w:t xml:space="preserve">5.3</w:t>
        </w:r>
      </w:hyperlink>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hyperlink w:history="1" w:anchor="sec_4_2">
        <w:r>
          <w:rPr>
            <w:b w:val="false"/>
            <w:bCs w:val="false"/>
            <w:i w:val="false"/>
            <w:iCs w:val="false"/>
          </w:rPr>
          <w:t xml:space="preserve">4.2</w:t>
        </w:r>
      </w:hyperlink>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hyperlink w:history="1" w:anchor="sec_4_3">
        <w:r>
          <w:rPr>
            <w:b w:val="false"/>
            <w:bCs w:val="false"/>
            <w:i w:val="false"/>
            <w:iCs w:val="false"/>
          </w:rPr>
          <w:t xml:space="preserve">4.3</w:t>
        </w:r>
      </w:hyperlink>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2"/>
      <w:r>
        <w:rPr>
          <w:b w:val="false"/>
          <w:bCs w:val="false"/>
          <w:i w:val="false"/>
          <w:iCs w:val="false"/>
        </w:rPr>
        <w:t xml:space="preserve">isk criteria and assessment matrix</w:t>
      </w:r>
      <w:bookmarkEnd w:id="1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3"/>
      <w:r>
        <w:rPr>
          <w:b w:val="false"/>
          <w:bCs w:val="false"/>
          <w:i w:val="false"/>
          <w:iCs w:val="false"/>
        </w:rPr>
        <w:t xml:space="preserve">isk identification register</w:t>
      </w:r>
      <w:bookmarkEnd w:id="13"/>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hyperlink w:history="1" w:anchor="sec_5_2">
        <w:r>
          <w:rPr>
            <w:b w:val="false"/>
            <w:bCs w:val="false"/>
            <w:i w:val="false"/>
            <w:iCs w:val="false"/>
          </w:rPr>
          <w:t xml:space="preserve">5.2</w:t>
        </w:r>
      </w:hyperlink>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4"/>
      <w:r>
        <w:rPr>
          <w:b w:val="false"/>
          <w:bCs w:val="false"/>
          <w:i w:val="false"/>
          <w:iCs w:val="false"/>
        </w:rPr>
        <w:t xml:space="preserve">isk position before and after treatment</w:t>
      </w:r>
      <w:bookmarkEnd w:id="14"/>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5"/>
      <w:r>
        <w:rPr>
          <w:b w:val="false"/>
          <w:bCs w:val="false"/>
          <w:i w:val="false"/>
          <w:iCs w:val="false"/>
        </w:rPr>
        <w:t xml:space="preserve">itigation and Control Strategy</w:t>
      </w:r>
      <w:bookmarkEnd w:id="15"/>
    </w:p>
    <w:p>
      <w:pPr>
        <w:pStyle w:val="Heading2"/>
        <w:numPr>
          <w:ilvl w:val="1"/>
          <w:numId w:val="2"/>
        </w:numPr>
        <w:spacing w:after="140" w:before="260"/>
      </w:pPr>
      <w:r>
        <w:t xml:space="preserve">C</w:t>
      </w:r>
      <w:bookmarkStart w:name="sec_5_1" w:id="16"/>
      <w:r>
        <w:rPr>
          <w:b w:val="false"/>
          <w:bCs w:val="false"/>
          <w:i w:val="false"/>
          <w:iCs w:val="false"/>
        </w:rPr>
        <w:t xml:space="preserve">ontrol strategy</w:t>
      </w:r>
      <w:bookmarkEnd w:id="1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hyperlink w:history="1" w:anchor="sec_6_2">
              <w:r>
                <w:rPr>
                  <w:b w:val="false"/>
                  <w:bCs w:val="false"/>
                  <w:i w:val="false"/>
                  <w:iCs w:val="false"/>
                </w:rPr>
                <w:t xml:space="preserve">6.2</w:t>
              </w:r>
            </w:hyperlink>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7"/>
      <w:r>
        <w:rPr>
          <w:b w:val="false"/>
          <w:bCs w:val="false"/>
          <w:i w:val="false"/>
          <w:iCs w:val="false"/>
        </w:rPr>
        <w:t xml:space="preserve">ontrols by risk</w:t>
      </w:r>
      <w:bookmarkEnd w:id="1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8"/>
      <w:r>
        <w:rPr>
          <w:b w:val="false"/>
          <w:bCs w:val="false"/>
          <w:i w:val="false"/>
          <w:iCs w:val="false"/>
        </w:rPr>
        <w:t xml:space="preserve">itigation and control strategy template</w:t>
      </w:r>
      <w:bookmarkEnd w:id="18"/>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hyperlink w:history="1" w:anchor="sec_4_2">
              <w:r>
                <w:rPr>
                  <w:b w:val="false"/>
                  <w:bCs w:val="false"/>
                  <w:i w:val="false"/>
                  <w:iCs w:val="false"/>
                </w:rPr>
                <w:t xml:space="preserve">4.2</w:t>
              </w:r>
            </w:hyperlink>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hyperlink w:history="1" w:anchor="sec_7_3">
              <w:r>
                <w:rPr>
                  <w:b w:val="false"/>
                  <w:bCs w:val="false"/>
                  <w:i w:val="false"/>
                  <w:iCs w:val="false"/>
                </w:rPr>
                <w:t xml:space="preserve">7.3</w:t>
              </w:r>
            </w:hyperlink>
            <w:r>
              <w:rPr>
                <w:b w:val="false"/>
                <w:bCs w:val="false"/>
                <w:i w:val="false"/>
                <w:iCs w:val="false"/>
              </w:rPr>
              <w:t xml:space="preserve"> and the recovery scenario in </w:t>
            </w:r>
            <w:r>
              <w:rPr>
                <w:b w:val="false"/>
                <w:bCs w:val="false"/>
                <w:i w:val="false"/>
                <w:iCs w:val="false"/>
              </w:rPr>
              <w:t xml:space="preserve">Section </w:t>
            </w:r>
            <w:hyperlink w:history="1" w:anchor="sec_8_1">
              <w:r>
                <w:rPr>
                  <w:b w:val="false"/>
                  <w:bCs w:val="false"/>
                  <w:i w:val="false"/>
                  <w:iCs w:val="false"/>
                </w:rPr>
                <w:t xml:space="preserve">8.1</w:t>
              </w:r>
            </w:hyperlink>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9"/>
      <w:r>
        <w:rPr>
          <w:b w:val="false"/>
          <w:bCs w:val="false"/>
          <w:i w:val="false"/>
          <w:iCs w:val="false"/>
        </w:rPr>
        <w:t xml:space="preserve">mplementation Method Statement</w:t>
      </w:r>
      <w:bookmarkEnd w:id="19"/>
    </w:p>
    <w:p>
      <w:pPr>
        <w:pStyle w:val="Heading2"/>
        <w:numPr>
          <w:ilvl w:val="1"/>
          <w:numId w:val="2"/>
        </w:numPr>
        <w:spacing w:after="140" w:before="260"/>
      </w:pPr>
      <w:r>
        <w:t xml:space="preserve">S</w:t>
      </w:r>
      <w:bookmarkStart w:name="sec_6_1" w:id="20"/>
      <w:r>
        <w:rPr>
          <w:b w:val="false"/>
          <w:bCs w:val="false"/>
          <w:i w:val="false"/>
          <w:iCs w:val="false"/>
        </w:rPr>
        <w:t xml:space="preserve">ecurity activities by phase</w:t>
      </w:r>
      <w:bookmarkEnd w:id="20"/>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21"/>
      <w:r>
        <w:rPr>
          <w:b w:val="false"/>
          <w:bCs w:val="false"/>
          <w:i w:val="false"/>
          <w:iCs w:val="false"/>
        </w:rPr>
        <w:t xml:space="preserve">ecurity testing</w:t>
      </w:r>
      <w:bookmarkEnd w:id="2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the Supplier, and its scope and rules of engagement are approved by NRB before testing begins.</w:t>
      </w:r>
    </w:p>
    <w:p>
      <w:pPr>
        <w:pStyle w:val="Heading2"/>
        <w:numPr>
          <w:ilvl w:val="1"/>
          <w:numId w:val="2"/>
        </w:numPr>
        <w:spacing w:after="140" w:before="260"/>
      </w:pPr>
      <w:r>
        <w:t xml:space="preserve">H</w:t>
      </w:r>
      <w:bookmarkStart w:name="sec_6_3" w:id="22"/>
      <w:r>
        <w:rPr>
          <w:b w:val="false"/>
          <w:bCs w:val="false"/>
          <w:i w:val="false"/>
          <w:iCs w:val="false"/>
        </w:rPr>
        <w:t xml:space="preserve">andover and operation</w:t>
      </w:r>
      <w:bookmarkEnd w:id="22"/>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23"/>
      <w:r>
        <w:rPr>
          <w:b w:val="false"/>
          <w:bCs w:val="false"/>
          <w:i w:val="false"/>
          <w:iCs w:val="false"/>
        </w:rPr>
        <w:t xml:space="preserve">ncident Response Plan</w:t>
      </w:r>
      <w:bookmarkEnd w:id="23"/>
    </w:p>
    <w:p>
      <w:pPr>
        <w:pStyle w:val="Heading2"/>
        <w:numPr>
          <w:ilvl w:val="1"/>
          <w:numId w:val="2"/>
        </w:numPr>
        <w:spacing w:after="140" w:before="260"/>
      </w:pPr>
      <w:r>
        <w:t xml:space="preserve">T</w:t>
      </w:r>
      <w:bookmarkStart w:name="sec_7_1" w:id="24"/>
      <w:r>
        <w:rPr>
          <w:b w:val="false"/>
          <w:bCs w:val="false"/>
          <w:i w:val="false"/>
          <w:iCs w:val="false"/>
        </w:rPr>
        <w:t xml:space="preserve">eam and escalation matrix</w:t>
      </w:r>
      <w:bookmarkEnd w:id="24"/>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25"/>
      <w:r>
        <w:rPr>
          <w:b w:val="false"/>
          <w:bCs w:val="false"/>
          <w:i w:val="false"/>
          <w:iCs w:val="false"/>
        </w:rPr>
        <w:t xml:space="preserve">esponse process</w:t>
      </w:r>
      <w:bookmarkEnd w:id="2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26"/>
      <w:r>
        <w:rPr>
          <w:b w:val="false"/>
          <w:bCs w:val="false"/>
          <w:i w:val="false"/>
          <w:iCs w:val="false"/>
        </w:rPr>
        <w:t xml:space="preserve">ontractual incident categories</w:t>
      </w:r>
      <w:bookmarkEnd w:id="26"/>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27"/>
      <w:r>
        <w:rPr>
          <w:b w:val="false"/>
          <w:bCs w:val="false"/>
          <w:i w:val="false"/>
          <w:iCs w:val="false"/>
        </w:rPr>
        <w:t xml:space="preserve">otification and reporting</w:t>
      </w:r>
      <w:bookmarkEnd w:id="2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28"/>
      <w:r>
        <w:rPr>
          <w:b w:val="false"/>
          <w:bCs w:val="false"/>
          <w:i w:val="false"/>
          <w:iCs w:val="false"/>
        </w:rPr>
        <w:t xml:space="preserve">usiness Continuity Response Plan</w:t>
      </w:r>
      <w:bookmarkEnd w:id="28"/>
    </w:p>
    <w:p>
      <w:pPr>
        <w:pStyle w:val="Heading2"/>
        <w:numPr>
          <w:ilvl w:val="1"/>
          <w:numId w:val="2"/>
        </w:numPr>
        <w:spacing w:after="140" w:before="260"/>
      </w:pPr>
      <w:r>
        <w:t xml:space="preserve">R</w:t>
      </w:r>
      <w:bookmarkStart w:name="sec_8_1" w:id="29"/>
      <w:r>
        <w:rPr>
          <w:b w:val="false"/>
          <w:bCs w:val="false"/>
          <w:i w:val="false"/>
          <w:iCs w:val="false"/>
        </w:rPr>
        <w:t xml:space="preserve">ecovery targets and scenarios</w:t>
      </w:r>
      <w:bookmarkEnd w:id="29"/>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switch, firewall, load balancer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30"/>
      <w:r>
        <w:rPr>
          <w:b w:val="false"/>
          <w:bCs w:val="false"/>
          <w:i w:val="false"/>
          <w:iCs w:val="false"/>
        </w:rPr>
        <w:t xml:space="preserve">ctivation, communication and testing</w:t>
      </w:r>
      <w:bookmarkEnd w:id="30"/>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31"/>
      <w:r>
        <w:rPr>
          <w:b w:val="false"/>
          <w:bCs w:val="false"/>
          <w:i w:val="false"/>
          <w:iCs w:val="false"/>
        </w:rPr>
        <w:t xml:space="preserve">esources, Schedule and Capacity Building</w:t>
      </w:r>
      <w:bookmarkEnd w:id="31"/>
    </w:p>
    <w:p>
      <w:pPr>
        <w:pStyle w:val="Heading2"/>
        <w:numPr>
          <w:ilvl w:val="1"/>
          <w:numId w:val="2"/>
        </w:numPr>
        <w:spacing w:after="140" w:before="260"/>
      </w:pPr>
      <w:r>
        <w:t xml:space="preserve">C</w:t>
      </w:r>
      <w:bookmarkStart w:name="sec_9_1" w:id="32"/>
      <w:r>
        <w:rPr>
          <w:b w:val="false"/>
          <w:bCs w:val="false"/>
          <w:i w:val="false"/>
          <w:iCs w:val="false"/>
        </w:rPr>
        <w:t xml:space="preserve">ybersecurity work breakdown structure</w:t>
      </w:r>
      <w:bookmarkEnd w:id="3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33"/>
      <w:r>
        <w:rPr>
          <w:b w:val="false"/>
          <w:bCs w:val="false"/>
          <w:i w:val="false"/>
          <w:iCs w:val="false"/>
        </w:rPr>
        <w:t xml:space="preserve">imeline</w:t>
      </w:r>
      <w:bookmarkEnd w:id="33"/>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34"/>
      <w:r>
        <w:rPr>
          <w:b w:val="false"/>
          <w:bCs w:val="false"/>
          <w:i w:val="false"/>
          <w:iCs w:val="false"/>
        </w:rPr>
        <w:t xml:space="preserve">esource and skill matrix</w:t>
      </w:r>
      <w:bookmarkEnd w:id="3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5"/>
        <w:gridCol w:w="4484"/>
        <w:gridCol w:w="2471"/>
      </w:tblGrid>
      <w:tr>
        <w:trPr>
          <w:tblHeader/>
        </w:trPr>
        <w:tc>
          <w:tcPr>
            <w:tcW w:type="dxa" w:w="206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484"/>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471"/>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4484"/>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certificates</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4484"/>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471"/>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4484"/>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4484"/>
            <w:tcMar>
              <w:top w:type="dxa" w:w="60"/>
              <w:left w:type="dxa" w:w="100"/>
              <w:bottom w:type="dxa" w:w="60"/>
              <w:right w:type="dxa" w:w="100"/>
            </w:tcMar>
          </w:tcPr>
          <w:p>
            <w:pPr>
              <w:spacing w:after="0" w:before="0"/>
            </w:pPr>
            <w:r>
              <w:rPr>
                <w:b w:val="false"/>
                <w:bCs w:val="false"/>
                <w:i w:val="false"/>
                <w:iCs w:val="false"/>
              </w:rPr>
              <w:t xml:space="preserve">Independent of the Supplier; CREST accredited or equivalent</w:t>
            </w:r>
          </w:p>
        </w:tc>
        <w:tc>
          <w:tcPr>
            <w:tcW w:type="dxa" w:w="2471"/>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qualifications of the other roles are set out in the Key Personnel CVs.</w:t>
      </w:r>
    </w:p>
    <w:p>
      <w:pPr>
        <w:pStyle w:val="Heading2"/>
        <w:numPr>
          <w:ilvl w:val="1"/>
          <w:numId w:val="2"/>
        </w:numPr>
        <w:spacing w:after="140" w:before="260"/>
      </w:pPr>
      <w:r>
        <w:t xml:space="preserve">C</w:t>
      </w:r>
      <w:bookmarkStart w:name="sec_9_4" w:id="35"/>
      <w:r>
        <w:rPr>
          <w:b w:val="false"/>
          <w:bCs w:val="false"/>
          <w:i w:val="false"/>
          <w:iCs w:val="false"/>
        </w:rPr>
        <w:t xml:space="preserve">apacity building and knowledge transfer</w:t>
      </w:r>
      <w:bookmarkEnd w:id="35"/>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hyperlink w:history="1" w:anchor="sec_7_3">
        <w:r>
          <w:rPr>
            <w:b w:val="false"/>
            <w:bCs w:val="false"/>
            <w:i w:val="false"/>
            <w:iCs w:val="false"/>
          </w:rPr>
          <w:t xml:space="preserve">7.3</w:t>
        </w:r>
      </w:hyperlink>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36"/>
      <w:r>
        <w:rPr>
          <w:b w:val="false"/>
          <w:bCs w:val="false"/>
          <w:i w:val="false"/>
          <w:iCs w:val="false"/>
        </w:rPr>
        <w:t xml:space="preserve">nnovations</w:t>
      </w:r>
      <w:bookmarkEnd w:id="3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37"/>
      <w:r>
        <w:rPr>
          <w:b w:val="false"/>
          <w:bCs w:val="false"/>
          <w:i w:val="false"/>
          <w:iCs w:val="false"/>
        </w:rPr>
        <w:t xml:space="preserve">ompliance</w:t>
      </w:r>
      <w:bookmarkEnd w:id="37"/>
    </w:p>
    <w:p>
      <w:pPr>
        <w:pStyle w:val="Heading2"/>
        <w:numPr>
          <w:ilvl w:val="1"/>
          <w:numId w:val="2"/>
        </w:numPr>
        <w:spacing w:after="140" w:before="260"/>
      </w:pPr>
      <w:r>
        <w:t xml:space="preserve">C</w:t>
      </w:r>
      <w:bookmarkStart w:name="sec_11_1" w:id="38"/>
      <w:r>
        <w:rPr>
          <w:b w:val="false"/>
          <w:bCs w:val="false"/>
          <w:i w:val="false"/>
          <w:iCs w:val="false"/>
        </w:rPr>
        <w:t xml:space="preserve">ompliance and governance statement</w:t>
      </w:r>
      <w:bookmarkEnd w:id="38"/>
    </w:p>
    <w:p>
      <w:pPr>
        <w:spacing w:after="140" w:line="276"/>
      </w:pPr>
      <w:r>
        <w:rPr>
          <w:b w:val="false"/>
          <w:bCs w:val="false"/>
          <w:i w:val="false"/>
          <w:iCs w:val="false"/>
        </w:rPr>
        <w:t xml:space="preserve">The Proposer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hyperlink w:history="1" w:anchor="sec_7_4">
        <w:r>
          <w:rPr>
            <w:b w:val="false"/>
            <w:bCs w:val="false"/>
            <w:i w:val="false"/>
            <w:iCs w:val="false"/>
          </w:rPr>
          <w:t xml:space="preserve">7.4</w:t>
        </w:r>
      </w:hyperlink>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ensure that Inkript, the joint venture member responsible for the Information System, maintains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hyperlink w:history="1" w:anchor="sec_2_1">
        <w:r>
          <w:rPr>
            <w:b w:val="false"/>
            <w:bCs w:val="false"/>
            <w:i w:val="false"/>
            <w:iCs w:val="false"/>
          </w:rPr>
          <w:t xml:space="preserve">2.1</w:t>
        </w:r>
      </w:hyperlink>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39"/>
      <w:r>
        <w:rPr>
          <w:b w:val="false"/>
          <w:bCs w:val="false"/>
          <w:i w:val="false"/>
          <w:iCs w:val="false"/>
        </w:rPr>
        <w:t xml:space="preserve">equirements compliance matrix</w:t>
      </w:r>
      <w:bookmarkEnd w:id="3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62"/>
        <w:gridCol w:w="2458"/>
      </w:tblGrid>
      <w:tr>
        <w:trPr>
          <w:tblHeader/>
        </w:trPr>
        <w:tc>
          <w:tcPr>
            <w:tcW w:type="dxa" w:w="656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458"/>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hyperlink w:history="1" w:anchor="sec_3_1">
              <w:r>
                <w:rPr>
                  <w:b w:val="false"/>
                  <w:bCs w:val="false"/>
                  <w:i w:val="false"/>
                  <w:iCs w:val="false"/>
                </w:rPr>
                <w:t xml:space="preserve">3.1</w:t>
              </w:r>
            </w:hyperlink>
          </w:p>
        </w:tc>
      </w:tr>
      <w:tr>
        <w:tc>
          <w:tcPr>
            <w:tcW w:type="dxa" w:w="6562"/>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hyperlink w:history="1" w:anchor="sec_6_2">
              <w:r>
                <w:rPr>
                  <w:b w:val="false"/>
                  <w:bCs w:val="false"/>
                  <w:i w:val="false"/>
                  <w:iCs w:val="false"/>
                </w:rPr>
                <w:t xml:space="preserve">6.2</w:t>
              </w:r>
            </w:hyperlink>
          </w:p>
        </w:tc>
      </w:tr>
      <w:tr>
        <w:tc>
          <w:tcPr>
            <w:tcW w:type="dxa" w:w="6562"/>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hyperlink w:history="1" w:anchor="sec_6_2">
              <w:r>
                <w:rPr>
                  <w:b w:val="false"/>
                  <w:bCs w:val="false"/>
                  <w:i w:val="false"/>
                  <w:iCs w:val="false"/>
                </w:rPr>
                <w:t xml:space="preserve">6.2</w:t>
              </w:r>
            </w:hyperlink>
            <w:r>
              <w:rPr>
                <w:b w:val="false"/>
                <w:bCs w:val="false"/>
                <w:i w:val="false"/>
                <w:iCs w:val="false"/>
              </w:rPr>
              <w:t xml:space="preserve"> and </w:t>
            </w:r>
            <w:hyperlink w:history="1" w:anchor="sec_6_3">
              <w:r>
                <w:rPr>
                  <w:b w:val="false"/>
                  <w:bCs w:val="false"/>
                  <w:i w:val="false"/>
                  <w:iCs w:val="false"/>
                </w:rPr>
                <w:t xml:space="preserve">6.3</w:t>
              </w:r>
            </w:hyperlink>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hyperlink w:history="1" w:anchor="sec_9_3">
              <w:r>
                <w:rPr>
                  <w:b w:val="false"/>
                  <w:bCs w:val="false"/>
                  <w:i w:val="false"/>
                  <w:iCs w:val="false"/>
                </w:rPr>
                <w:t xml:space="preserve">9.3</w:t>
              </w:r>
            </w:hyperlink>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458"/>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hyperlink w:history="1" w:anchor="sec_3_2">
              <w:r>
                <w:rPr>
                  <w:b w:val="false"/>
                  <w:bCs w:val="false"/>
                  <w:i w:val="false"/>
                  <w:iCs w:val="false"/>
                </w:rPr>
                <w:t xml:space="preserve">3.2</w:t>
              </w:r>
            </w:hyperlink>
            <w:r>
              <w:rPr>
                <w:b w:val="false"/>
                <w:bCs w:val="false"/>
                <w:i w:val="false"/>
                <w:iCs w:val="false"/>
              </w:rPr>
              <w:t xml:space="preserve">; </w:t>
            </w:r>
            <w:r>
              <w:rPr>
                <w:b w:val="false"/>
                <w:bCs w:val="false"/>
                <w:i w:val="false"/>
                <w:iCs w:val="false"/>
              </w:rPr>
              <w:t xml:space="preserve">System Architecture Section 10.8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hyperlink w:history="1" w:anchor="sec_11_1">
              <w:r>
                <w:rPr>
                  <w:b w:val="false"/>
                  <w:bCs w:val="false"/>
                  <w:i w:val="false"/>
                  <w:iCs w:val="false"/>
                </w:rPr>
                <w:t xml:space="preserve">11.1</w:t>
              </w:r>
            </w:hyperlink>
            <w:r>
              <w:rPr>
                <w:b w:val="false"/>
                <w:bCs w:val="false"/>
                <w:i w:val="false"/>
                <w:iCs w:val="false"/>
              </w:rPr>
              <w:t xml:space="preserve">;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hyperlink w:history="1" w:anchor="sec_2_1">
              <w:r>
                <w:rPr>
                  <w:b w:val="false"/>
                  <w:bCs w:val="false"/>
                  <w:i w:val="false"/>
                  <w:iCs w:val="false"/>
                </w:rPr>
                <w:t xml:space="preserve">2.1</w:t>
              </w:r>
            </w:hyperlink>
            <w:r>
              <w:rPr>
                <w:b w:val="false"/>
                <w:bCs w:val="false"/>
                <w:i w:val="false"/>
                <w:iCs w:val="false"/>
              </w:rPr>
              <w:t xml:space="preserve"> and </w:t>
            </w:r>
            <w:hyperlink w:history="1" w:anchor="sec_11_1">
              <w:r>
                <w:rPr>
                  <w:b w:val="false"/>
                  <w:bCs w:val="false"/>
                  <w:i w:val="false"/>
                  <w:iCs w:val="false"/>
                </w:rPr>
                <w:t xml:space="preserve">11.1</w:t>
              </w:r>
            </w:hyperlink>
          </w:p>
        </w:tc>
      </w:tr>
      <w:tr>
        <w:tc>
          <w:tcPr>
            <w:tcW w:type="dxa" w:w="6562"/>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hyperlink w:history="1" w:anchor="sec_6_3">
              <w:r>
                <w:rPr>
                  <w:b w:val="false"/>
                  <w:bCs w:val="false"/>
                  <w:i w:val="false"/>
                  <w:iCs w:val="false"/>
                </w:rPr>
                <w:t xml:space="preserve">6.3</w:t>
              </w:r>
            </w:hyperlink>
          </w:p>
        </w:tc>
      </w:tr>
      <w:tr>
        <w:tc>
          <w:tcPr>
            <w:tcW w:type="dxa" w:w="6562"/>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2026-10-12T13:33:25.550Z</dcterms:created>
  <dcterms:modified xsi:type="dcterms:W3CDTF">2026-10-12T13:33:25.550Z</dcterms:modified>
</cp:coreProperties>
</file>

<file path=docProps/custom.xml><?xml version="1.0" encoding="utf-8"?>
<Properties xmlns="http://schemas.openxmlformats.org/officeDocument/2006/custom-properties" xmlns:vt="http://schemas.openxmlformats.org/officeDocument/2006/docPropsVTypes"/>
</file>