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42</w:t>
            </w:r>
          </w:hyperlink>
        </w:p>
        <w:p>
          <w:pPr>
            <w:pStyle w:val="TOC2"/>
            <w:tabs>
              <w:tab w:val="clear" w:pos="8786"/>
              <w:tab w:val="right" w:pos="9025" w:leader="dot"/>
            </w:tabs>
          </w:pPr>
          <w:hyperlink w:history="1" w:anchor="sec_4_1">
            <w:r>
              <w:rPr>
                <w:rStyle w:val="IndexLink"/>
              </w:rPr>
              <w:t xml:space="default">4.1 Inspections</w:t>
              <w:tab/>
              <w:t xml:space="default">42</w:t>
            </w:r>
          </w:hyperlink>
        </w:p>
        <w:p>
          <w:pPr>
            <w:pStyle w:val="TOC2"/>
            <w:tabs>
              <w:tab w:val="clear" w:pos="8786"/>
              <w:tab w:val="right" w:pos="9025" w:leader="dot"/>
            </w:tabs>
          </w:pPr>
          <w:hyperlink w:history="1" w:anchor="sec_4_2">
            <w:r>
              <w:rPr>
                <w:rStyle w:val="IndexLink"/>
              </w:rPr>
              <w:t xml:space="default">4.2 Pre-commissioning tests</w:t>
              <w:tab/>
              <w:t xml:space="default">42</w:t>
            </w:r>
          </w:hyperlink>
        </w:p>
        <w:p>
          <w:pPr>
            <w:pStyle w:val="TOC2"/>
            <w:tabs>
              <w:tab w:val="clear" w:pos="8786"/>
              <w:tab w:val="right" w:pos="9025" w:leader="dot"/>
            </w:tabs>
          </w:pPr>
          <w:hyperlink w:history="1" w:anchor="sec_4_3">
            <w:r>
              <w:rPr>
                <w:rStyle w:val="IndexLink"/>
              </w:rPr>
              <w:t xml:space="default">4.3 Operational acceptance tests</w:t>
              <w:tab/>
              <w:t xml:space="default">45</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49</w:t>
            </w:r>
          </w:hyperlink>
        </w:p>
        <w:p>
          <w:pPr>
            <w:pStyle w:val="TOC2"/>
            <w:tabs>
              <w:tab w:val="clear" w:pos="8786"/>
              <w:tab w:val="right" w:pos="9025" w:leader="dot"/>
            </w:tabs>
          </w:pPr>
          <w:hyperlink w:history="1" w:anchor="sec_5_1">
            <w:r>
              <w:rPr>
                <w:rStyle w:val="IndexLink"/>
              </w:rPr>
              <w:t xml:space="default">5.1 Warranty defect repair</w:t>
              <w:tab/>
              <w:t xml:space="default">49</w:t>
            </w:r>
          </w:hyperlink>
        </w:p>
        <w:p>
          <w:pPr>
            <w:pStyle w:val="TOC2"/>
            <w:tabs>
              <w:tab w:val="clear" w:pos="8786"/>
              <w:tab w:val="right" w:pos="9025" w:leader="dot"/>
            </w:tabs>
          </w:pPr>
          <w:hyperlink w:history="1" w:anchor="sec_5_2">
            <w:r>
              <w:rPr>
                <w:rStyle w:val="IndexLink"/>
              </w:rPr>
              <w:t xml:space="default">5.2 Technical support</w:t>
              <w:tab/>
              <w:t xml:space="default">49</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49</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2"/>
      <w:r>
        <w:rPr>
          <w:b w:val="false"/>
          <w:bCs w:val="false"/>
          <w:i w:val="false"/>
          <w:iCs w:val="false"/>
        </w:rPr>
        <w:t xml:space="preserve">egal and regulatory requirements</w:t>
      </w:r>
      <w:bookmarkEnd w:id="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3"/>
      <w:r>
        <w:rPr>
          <w:b w:val="false"/>
          <w:bCs w:val="false"/>
          <w:i w:val="false"/>
          <w:iCs w:val="false"/>
        </w:rPr>
        <w:t xml:space="preserve">usiness function requirements</w:t>
      </w:r>
      <w:bookmarkEnd w:id="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specified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matches each carrier's barcode to its card before affixing one to four cards per carrier,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Mailing system datasheet; Preliminary Project Plan Annex A</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4"/>
      <w:r>
        <w:rPr>
          <w:b w:val="false"/>
          <w:bCs w:val="false"/>
          <w:i w:val="false"/>
          <w:iCs w:val="false"/>
        </w:rPr>
        <w:t xml:space="preserve">rchitectural requirements</w:t>
      </w:r>
      <w:bookmarkEnd w:id="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on a two-host failover cluster are load balanced by a high availability pair of appliances, and the database runs on a two-host failover cluster of its own,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384 GB, in application and database clusters on a dual-controller RAID array of not less than 20 TB usable after RAID; redundant layer 3 core switches; a high availability firewall pair and load balancer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Two modular fiber laser systems mark both faces in one pass, with grayscale, QR and CLI. As clarified in the Response to Clarifications 001, 2,000 cards per hour is the combined rate, at least 1,000 per machine. Each machine has five laser stations, two for each face and one for the CLI. A face station can be taken out of service between production runs, with production resuming on the remaining stations, as tested at factory acceptance, and the other machine continues production while one is serviced.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 filtering system, a 600-card stacker and an industrial control PC running the machine software. The laser units need no cooling system, and no air compressor is needed, as the machines use no compressed 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with the card's barcode, match that barcode to the card and affix one to four cards, check the attachment, fold, insert and seal, reading 1D, 2D and QR codes.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5"/>
      <w:r>
        <w:rPr>
          <w:b w:val="false"/>
          <w:bCs w:val="false"/>
          <w:i w:val="false"/>
          <w:iCs w:val="false"/>
        </w:rPr>
        <w:t xml:space="preserve">ystems administration and management functions</w:t>
      </w:r>
      <w:bookmarkEnd w:id="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6"/>
      <w:r>
        <w:rPr>
          <w:b w:val="false"/>
          <w:bCs w:val="false"/>
          <w:i w:val="false"/>
          <w:iCs w:val="false"/>
        </w:rPr>
        <w:t xml:space="preserve">erformance requirements</w:t>
      </w:r>
      <w:bookmarkEnd w:id="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and matched to its carrier by identifier before it is affixed, then inserted, sealed and sorted by destination in line, and matched capacity with buffer modules prevents backlog.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by a high availability pair of appliances across two active application servers kept on different hosts.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7"/>
      <w:r>
        <w:rPr>
          <w:b w:val="false"/>
          <w:bCs w:val="false"/>
          <w:i w:val="false"/>
          <w:iCs w:val="false"/>
        </w:rPr>
        <w:t xml:space="preserve">yber security</w:t>
      </w:r>
      <w:bookmarkEnd w:id="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The Network Engineer holds CCNA and CCNP, penetration testing is performed by an independent tester holding CREST or equivalent accreditation, and the certifications of each key person are set out in the attached CVs.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CVs and certificates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8"/>
      <w:r>
        <w:rPr>
          <w:b w:val="false"/>
          <w:bCs w:val="false"/>
          <w:i w:val="false"/>
          <w:iCs w:val="false"/>
        </w:rPr>
        <w:t xml:space="preserve">ervice Specifications, Supply and Install Items</w:t>
      </w:r>
      <w:bookmarkEnd w:id="8"/>
    </w:p>
    <w:p>
      <w:pPr>
        <w:pStyle w:val="Heading2"/>
        <w:numPr>
          <w:ilvl w:val="1"/>
          <w:numId w:val="2"/>
        </w:numPr>
        <w:spacing w:after="140" w:before="260"/>
      </w:pPr>
      <w:r>
        <w:t xml:space="preserve">S</w:t>
      </w:r>
      <w:bookmarkStart w:name="sec_2_1" w:id="9"/>
      <w:r>
        <w:rPr>
          <w:b w:val="false"/>
          <w:bCs w:val="false"/>
          <w:i w:val="false"/>
          <w:iCs w:val="false"/>
        </w:rPr>
        <w:t xml:space="preserve">ystem integration</w:t>
      </w:r>
      <w:bookmarkEnd w:id="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0"/>
      <w:r>
        <w:rPr>
          <w:b w:val="false"/>
          <w:bCs w:val="false"/>
          <w:i w:val="false"/>
          <w:iCs w:val="false"/>
        </w:rPr>
        <w:t xml:space="preserve">raining and training materials</w:t>
      </w:r>
      <w:bookmarkEnd w:id="1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1"/>
      <w:r>
        <w:rPr>
          <w:b w:val="false"/>
          <w:bCs w:val="false"/>
          <w:i w:val="false"/>
          <w:iCs w:val="false"/>
        </w:rPr>
        <w:t xml:space="preserve">ocumentation requirements</w:t>
      </w:r>
      <w:bookmarkEnd w:id="1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5"/>
        <w:gridCol w:w="4935"/>
        <w:gridCol w:w="2000"/>
      </w:tblGrid>
      <w:tr>
        <w:trPr>
          <w:tblHeader/>
        </w:trPr>
        <w:tc>
          <w:tcPr>
            <w:tcW w:type="dxa" w:w="208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5"/>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5"/>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5"/>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5"/>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5"/>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5"/>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5"/>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certificate; Attachment: Inkript ISO 9001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2"/>
      <w:r>
        <w:rPr>
          <w:b w:val="false"/>
          <w:bCs w:val="false"/>
          <w:i w:val="false"/>
          <w:iCs w:val="false"/>
        </w:rPr>
        <w:t xml:space="preserve">equirements of the Supplier's technical team</w:t>
      </w:r>
      <w:bookmarkEnd w:id="1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Solution Architect leads security architecture and design, assesses the impact of technical changes and approves medium and high-risk changes as technical lead. The nominee holds a Bachelor's degree in a listed field and has at least five years in solution architecture, systems integration, interoperability and technical assurance.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has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has experience in secure ID card and secure document programs,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Software Integration Specialist holds a degree in computer science, software engineering or information systems, has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and Change Management Specialist holds a degree in ICT, education or human resource development, has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The Quality Assurance and Testing Specialist holds a degree in computer science, engineering or quality management, has at least five years in enterprise ICT testing, including user acceptance, performance and security testing,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has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3"/>
      <w:r>
        <w:rPr>
          <w:b w:val="false"/>
          <w:bCs w:val="false"/>
          <w:i w:val="false"/>
          <w:iCs w:val="false"/>
        </w:rPr>
        <w:t xml:space="preserve">echnology Specifications, Supply and Install Items</w:t>
      </w:r>
      <w:bookmarkEnd w:id="1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7"/>
        <w:gridCol w:w="5093"/>
        <w:gridCol w:w="2000"/>
      </w:tblGrid>
      <w:tr>
        <w:trPr>
          <w:tblHeader/>
        </w:trPr>
        <w:tc>
          <w:tcPr>
            <w:tcW w:type="dxa" w:w="192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93"/>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927"/>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927"/>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927"/>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as their datasheet shows.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A</w:t>
      </w:r>
      <w:bookmarkStart w:name="sec_3_1" w:id="14"/>
      <w:r>
        <w:rPr>
          <w:b w:val="false"/>
          <w:bCs w:val="false"/>
          <w:i w:val="false"/>
          <w:iCs w:val="false"/>
        </w:rPr>
        <w:t xml:space="preserve">utomatic modular laser personalization systems</w:t>
      </w:r>
      <w:bookmarkEnd w:id="1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 Attachment: Laser personalization system secure features document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5"/>
      <w:r>
        <w:rPr>
          <w:b w:val="false"/>
          <w:bCs w:val="false"/>
          <w:i w:val="false"/>
          <w:iCs w:val="false"/>
        </w:rPr>
        <w:t xml:space="preserve">ersonalization laser features</w:t>
      </w:r>
      <w:bookmarkEnd w:id="1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units of the offered machines need no cooling system for continuous industrial-scale engraving, as the manufacturer confirms. The only auxiliary system they require is the filtering system, which is integrated in each machine and serviced at the manufacturer's preventive maintenance intervals.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filtering system are fully integrated into the personalization machine rather than assembled from separate units, and operate as a single system under synchronized workflow control.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09"/>
            <w:tcMar>
              <w:top w:type="dxa" w:w="60"/>
              <w:left w:type="dxa" w:w="100"/>
              <w:bottom w:type="dxa" w:w="60"/>
              <w:right w:type="dxa" w:w="100"/>
            </w:tcMar>
          </w:tcPr>
          <w:p>
            <w:pPr>
              <w:spacing w:after="0" w:before="0"/>
            </w:pPr>
            <w:r>
              <w:rPr>
                <w:b w:val="false"/>
                <w:bCs w:val="false"/>
                <w:i w:val="false"/>
                <w:iCs w:val="false"/>
              </w:rPr>
              <w:t xml:space="preserve">Each machine personalizes a complete card, both faces and the CLI, in a single pass and independently of the other machine. Within a machine, each face is marked by either of its two laser stations, and the CLI by its own station.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Any laser station can be switched off or removed for servicing at the end of a production run, once the job settings are reconfigured, and the machine continues on the other station for that face. While a machine is serviced, including its CLI station, production continues on the other machine, so servicing does not stop card production. All stations are calibrated to identical quality, and taking a station out between runs is demonstrated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layout drawings of both systems, also submitted, give their overall dimensions, power consumption and total weight. The System Architecture describes each component.</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Equipment layout drawings;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with five laser heads per machine: two for each face and one for the CLI. Wavelength, expected operational lifespan and maintenance intervals are stated in the manufacturer's datasheet and manual, submitted with the proposal.</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personalization system manual;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needs no compressed air, so no air pressure, flow rate or compressor specification applies. The dedicated Power and Air Pressure Requirements document sets out the power requirements and confirms that no compressed air is required.</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6"/>
      <w:r>
        <w:rPr>
          <w:b w:val="false"/>
          <w:bCs w:val="false"/>
          <w:i w:val="false"/>
          <w:iCs w:val="false"/>
        </w:rPr>
        <w:t xml:space="preserve">utomated mailing and dispatch systems</w:t>
      </w:r>
      <w:bookmarkEnd w:id="1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carrier is matched to its cards and they are affixed,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line reads 1D, 2D and QR codes, and this is tested at factory acceptance. Each card is read against the job record before its carrier is printed, and the carrier's barcode is read and matched to the card before the card is affixed. On a mismatch the card and carrier are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7"/>
      <w:r>
        <w:rPr>
          <w:b w:val="false"/>
          <w:bCs w:val="false"/>
          <w:i w:val="false"/>
          <w:iCs w:val="false"/>
        </w:rPr>
        <w:t xml:space="preserve">olycarbonate cards</w:t>
      </w:r>
      <w:bookmarkEnd w:id="1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5"/>
        <w:gridCol w:w="5015"/>
        <w:gridCol w:w="2000"/>
      </w:tblGrid>
      <w:tr>
        <w:trPr>
          <w:tblHeader/>
        </w:trPr>
        <w:tc>
          <w:tcPr>
            <w:tcW w:type="dxa" w:w="200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5"/>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is specified to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manufacturer's technical datasheet</w:t>
            </w:r>
          </w:p>
        </w:tc>
      </w:tr>
      <w:tr>
        <w:tc>
          <w:tcPr>
            <w:tcW w:type="dxa" w:w="2005"/>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p>
        </w:tc>
      </w:tr>
      <w:tr>
        <w:tc>
          <w:tcPr>
            <w:tcW w:type="dxa" w:w="2005"/>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5"/>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15"/>
            <w:tcMar>
              <w:top w:type="dxa" w:w="60"/>
              <w:left w:type="dxa" w:w="100"/>
              <w:bottom w:type="dxa" w:w="60"/>
              <w:right w:type="dxa" w:w="100"/>
            </w:tcMar>
          </w:tcPr>
          <w:p>
            <w:pPr>
              <w:spacing w:after="0" w:before="0"/>
            </w:pPr>
            <w:r>
              <w:rPr>
                <w:b w:val="false"/>
                <w:bCs w:val="false"/>
                <w:i w:val="false"/>
                <w:iCs w:val="false"/>
              </w:rPr>
              <w:t xml:space="preserve">Not fewer than two laboratory test reports, from an independent international laboratory holding ISO/IEC 17025 accreditation and covering all fourteen named tests against ISO/IEC 7810, ISO/IEC 10373-1 and ISO/IEC 24789, are provided before the first card delivery. The Supplier arranges the testing,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R</w:t>
      </w:r>
      <w:bookmarkStart w:name="sec_3_5" w:id="18"/>
      <w:r>
        <w:rPr>
          <w:b w:val="false"/>
          <w:bCs w:val="false"/>
          <w:i w:val="false"/>
          <w:iCs w:val="false"/>
        </w:rPr>
        <w:t xml:space="preserve">enovation of premises</w:t>
      </w:r>
      <w:bookmarkEnd w:id="1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9"/>
      <w:r>
        <w:rPr>
          <w:b w:val="false"/>
          <w:bCs w:val="false"/>
          <w:i w:val="false"/>
          <w:iCs w:val="false"/>
        </w:rPr>
        <w:t xml:space="preserve">esting and Quality Assurance Requirements</w:t>
      </w:r>
      <w:bookmarkEnd w:id="19"/>
    </w:p>
    <w:p>
      <w:pPr>
        <w:pStyle w:val="Heading2"/>
        <w:numPr>
          <w:ilvl w:val="1"/>
          <w:numId w:val="2"/>
        </w:numPr>
        <w:spacing w:after="140" w:before="260"/>
      </w:pPr>
      <w:r>
        <w:t xml:space="preserve">I</w:t>
      </w:r>
      <w:bookmarkStart w:name="sec_4_1" w:id="20"/>
      <w:r>
        <w:rPr>
          <w:b w:val="false"/>
          <w:bCs w:val="false"/>
          <w:i w:val="false"/>
          <w:iCs w:val="false"/>
        </w:rPr>
        <w:t xml:space="preserve">nspections</w:t>
      </w:r>
      <w:bookmarkEnd w:id="2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21"/>
      <w:r>
        <w:rPr>
          <w:b w:val="false"/>
          <w:bCs w:val="false"/>
          <w:i w:val="false"/>
          <w:iCs w:val="false"/>
        </w:rPr>
        <w:t xml:space="preserve">re-commissioning tests</w:t>
      </w:r>
      <w:bookmarkEnd w:id="2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22"/>
      <w:r>
        <w:rPr>
          <w:b w:val="false"/>
          <w:bCs w:val="false"/>
          <w:i w:val="false"/>
          <w:iCs w:val="false"/>
        </w:rPr>
        <w:t xml:space="preserve">perational acceptance tests</w:t>
      </w:r>
      <w:bookmarkEnd w:id="2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against its record and matched to its carrier's barcode before it is affixed,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23"/>
      <w:r>
        <w:rPr>
          <w:b w:val="false"/>
          <w:bCs w:val="false"/>
          <w:i w:val="false"/>
          <w:iCs w:val="false"/>
        </w:rPr>
        <w:t xml:space="preserve">ervice Specifications, Recurrent Cost Items</w:t>
      </w:r>
      <w:bookmarkEnd w:id="23"/>
    </w:p>
    <w:p>
      <w:pPr>
        <w:pStyle w:val="Heading2"/>
        <w:numPr>
          <w:ilvl w:val="1"/>
          <w:numId w:val="2"/>
        </w:numPr>
        <w:spacing w:after="140" w:before="260"/>
      </w:pPr>
      <w:r>
        <w:t xml:space="preserve">W</w:t>
      </w:r>
      <w:bookmarkStart w:name="sec_5_1" w:id="24"/>
      <w:r>
        <w:rPr>
          <w:b w:val="false"/>
          <w:bCs w:val="false"/>
          <w:i w:val="false"/>
          <w:iCs w:val="false"/>
        </w:rPr>
        <w:t xml:space="preserve">arranty defect repair</w:t>
      </w:r>
      <w:bookmarkEnd w:id="2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25"/>
      <w:r>
        <w:rPr>
          <w:b w:val="false"/>
          <w:bCs w:val="false"/>
          <w:i w:val="false"/>
          <w:iCs w:val="false"/>
        </w:rPr>
        <w:t xml:space="preserve">echnical support</w:t>
      </w:r>
      <w:bookmarkEnd w:id="2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26"/>
      <w:r>
        <w:rPr>
          <w:b w:val="false"/>
          <w:bCs w:val="false"/>
          <w:i w:val="false"/>
          <w:iCs w:val="false"/>
        </w:rPr>
        <w:t xml:space="preserve">equirements of the Supplier's technical team</w:t>
      </w:r>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387"/>
        <w:gridCol w:w="2083"/>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83"/>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387"/>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and has experience in secure ID card and secure document programs. The specialist also trains NRB staff on quality assurance and the inspection of card security features, such as the UV, deliberate error, tactile laser and signed QR elements.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with experience of hardware security modules, encryption and digital certificates. The role provides Level 2 security support through the warranty period.</w:t>
            </w:r>
          </w:p>
        </w:tc>
        <w:tc>
          <w:tcPr>
            <w:tcW w:type="dxa" w:w="2083"/>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2026-10-12T13:33:29.057Z</dcterms:created>
  <dcterms:modified xsi:type="dcterms:W3CDTF">2026-10-12T13:33:29.057Z</dcterms:modified>
</cp:coreProperties>
</file>

<file path=docProps/custom.xml><?xml version="1.0" encoding="utf-8"?>
<Properties xmlns="http://schemas.openxmlformats.org/officeDocument/2006/custom-properties" xmlns:vt="http://schemas.openxmlformats.org/officeDocument/2006/docPropsVTypes"/>
</file>