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Laser station configuration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14</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65</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so that while a machine is serviced, or if a whole line is lost, production continues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70"/>
        <w:gridCol w:w="1560"/>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7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70"/>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0"/>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70"/>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70"/>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70"/>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70"/>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the dispatch reference and a barcode of the card identifier. The machine reads the carrier's barcode and matches it to the card before affixing the card, so that each card reaches the correct recipient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70"/>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70"/>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22"/>
        <w:gridCol w:w="6998"/>
      </w:tblGrid>
      <w:tr>
        <w:trPr>
          <w:tblHeader/>
        </w:trPr>
        <w:tc>
          <w:tcPr>
            <w:tcW w:type="dxa" w:w="2022"/>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98"/>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98"/>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98"/>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98"/>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98"/>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Filtering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Filters the air extracted from the laser marking area. The laser units need no cooling system</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98"/>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98"/>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98"/>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machines are configured for laser personalization without inkjet printing and need no compressed air supply.</w:t>
      </w: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filtering system, all operating under synchronized workflow control as a single system. The laser units need no cooling system, as the manufacturer confirms.</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L</w:t>
      </w:r>
      <w:bookmarkStart w:name="sec_3_4" w:id="1"/>
      <w:r>
        <w:rPr>
          <w:b w:val="false"/>
          <w:bCs w:val="false"/>
          <w:i w:val="false"/>
          <w:iCs w:val="false"/>
        </w:rPr>
        <w:t xml:space="preserve">aser station configuration</w:t>
      </w:r>
      <w:bookmarkEnd w:id="1"/>
    </w:p>
    <w:p>
      <w:pPr>
        <w:spacing w:after="140" w:line="276"/>
      </w:pPr>
      <w:r>
        <w:rPr>
          <w:b w:val="false"/>
          <w:bCs w:val="false"/>
          <w:i w:val="false"/>
          <w:iCs w:val="false"/>
        </w:rPr>
        <w:t xml:space="preserve">Each machine carries five laser stations, in the configuration the manufacturer recommends for performance: two for each face of the card and one for the CLI. Each card is personalized on both faces, including its CLI, within one machine and in a single pass of the transport path.</w:t>
      </w:r>
    </w:p>
    <w:p>
      <w:pPr>
        <w:spacing w:after="140" w:line="276"/>
      </w:pPr>
      <w:r>
        <w:rPr>
          <w:b/>
          <w:bCs/>
          <w:i w:val="false"/>
          <w:iCs w:val="false"/>
        </w:rPr>
        <w:t xml:space="preserve">A station can be taken out of service.</w:t>
      </w:r>
      <w:r>
        <w:rPr>
          <w:b w:val="false"/>
          <w:bCs w:val="false"/>
          <w:i w:val="false"/>
          <w:iCs w:val="false"/>
        </w:rPr>
        <w:t xml:space="preserve"> Any laser station can be switched off or removed for maintenance. The machine is then set up for the stations that remain, which takes a change to the job and machine settings, so a station is taken out at the end of a production run rather than during it. With a station for one face out of service, the machine continues on the other station for that face.</w:t>
      </w:r>
    </w:p>
    <w:p>
      <w:pPr>
        <w:spacing w:after="140" w:line="276"/>
      </w:pPr>
      <w:r>
        <w:rPr>
          <w:b/>
          <w:bCs/>
          <w:i w:val="false"/>
          <w:iCs w:val="false"/>
        </w:rPr>
        <w:t xml:space="preserve">Production continues on the other machine.</w:t>
      </w:r>
      <w:r>
        <w:rPr>
          <w:b w:val="false"/>
          <w:bCs w:val="false"/>
          <w:i w:val="false"/>
          <w:iCs w:val="false"/>
        </w:rPr>
        <w:t xml:space="preserve"> The two machines are complete and independent production lines, as described in </w:t>
      </w:r>
      <w:r>
        <w:rPr>
          <w:b w:val="false"/>
          <w:bCs w:val="false"/>
          <w:i w:val="false"/>
          <w:iCs w:val="false"/>
        </w:rPr>
        <w:t xml:space="preserve">Section </w:t>
      </w:r>
      <w:fldSimple w:instr="REF sec_3_1 \w \h">
        <w:r>
          <w:t xml:space="preserve">3.1</w:t>
        </w:r>
      </w:fldSimple>
      <w:r>
        <w:rPr>
          <w:b w:val="false"/>
          <w:bCs w:val="false"/>
          <w:i w:val="false"/>
          <w:iCs w:val="false"/>
        </w:rPr>
        <w:t xml:space="preserve">. While one is being serviced, including its CLI station, production continues on the other, so the servicing of a station does not stop card production.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Five laser stations, two for each face and one for the CLI, personalize each card in a single pass. Line 2 is identical and independent of line 1.</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are specified to: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from an independent international laboratory holding ISO/IEC 17025 accreditation with a scope covering these standards, are provided before the first card delivery,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5"/>
        <w:gridCol w:w="7095"/>
      </w:tblGrid>
      <w:tr>
        <w:trPr>
          <w:tblHeader/>
        </w:trPr>
        <w:tc>
          <w:tcPr>
            <w:tcW w:type="dxa" w:w="1925"/>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7095"/>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7095"/>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the dispatch reference and a barcode of the card identifier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barcode on the carrier, matches it to the card, and attaches one to four cards to the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Attachment check</w:t>
            </w:r>
          </w:p>
        </w:tc>
        <w:tc>
          <w:tcPr>
            <w:tcW w:type="dxa" w:w="7095"/>
            <w:tcMar>
              <w:top w:type="dxa" w:w="60"/>
              <w:left w:type="dxa" w:w="100"/>
              <w:bottom w:type="dxa" w:w="60"/>
              <w:right w:type="dxa" w:w="100"/>
            </w:tcMar>
          </w:tcPr>
          <w:p>
            <w:pPr>
              <w:spacing w:after="0" w:before="0"/>
            </w:pPr>
            <w:r>
              <w:rPr>
                <w:b w:val="false"/>
                <w:bCs w:val="false"/>
                <w:i w:val="false"/>
                <w:iCs w:val="false"/>
              </w:rPr>
              <w:t xml:space="preserve">Confirms that each card is physically attached to its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7095"/>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7095"/>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7095"/>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with the card's barcode. At the affixing station the carrier's barcode is read and matched to the card, and the card is attached only on a match.</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and carrying a barcode of the card identifier,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its attachment checked,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Each card is read at the reading station and matched to the job record before its carrier is printed, and from then on the line tracks the card by its identifier through every station. The carrier is printed with a barcode of that identifier. At the affixing station the barcode is read and matched to the card: on a match the card is attached, and on a mismatch the card and its carrier are both rejected. The attachment is then checked, and nothing separates the card from its carrier after that point. Every step takes place in a single pass of the line.</w:t>
      </w:r>
    </w:p>
    <w:p>
      <w:pPr>
        <w:spacing w:after="140" w:line="276"/>
      </w:pPr>
      <w:r>
        <w:rPr>
          <w:b w:val="false"/>
          <w:bCs w:val="false"/>
          <w:i w:val="false"/>
          <w:iCs w:val="false"/>
        </w:rPr>
        <w:t xml:space="preserve">This catches the faults that arise inside the machine after correct data has been supplied, such as a carrier out of sequence, which would produce a mail piece whose contents do not match its address. No upstream system can see such a fault, because upstream the pairing was correct, so it is caught at the line, before the card is attached.</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drives the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and while a machine is being serviced, queued batches are directed to the other line.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3"/>
        <w:gridCol w:w="7007"/>
      </w:tblGrid>
      <w:tr>
        <w:trPr>
          <w:tblHeader/>
        </w:trPr>
        <w:tc>
          <w:tcPr>
            <w:tcW w:type="dxa" w:w="2013"/>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00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value read from the card, matched at affixing to the barcode on its carrier, which is what proves the pairing</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007"/>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7007"/>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affixing station matched the card to its carrier carries a record of that match,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a protected drive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256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Application cluster with automated failover over the storage array, carrying the integration, application, load balancer,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a protected drive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Load balancer</w:t>
            </w:r>
          </w:p>
        </w:tc>
        <w:tc>
          <w:tcPr>
            <w:tcW w:type="dxa" w:w="4890"/>
            <w:tcMar>
              <w:top w:type="dxa" w:w="60"/>
              <w:left w:type="dxa" w:w="100"/>
              <w:bottom w:type="dxa" w:w="60"/>
              <w:right w:type="dxa" w:w="100"/>
            </w:tcMar>
          </w:tcPr>
          <w:p>
            <w:pPr>
              <w:spacing w:after="0" w:before="0"/>
            </w:pPr>
            <w:r>
              <w:rPr>
                <w:b w:val="false"/>
                <w:bCs w:val="false"/>
                <w:i w:val="false"/>
                <w:iCs w:val="false"/>
              </w:rPr>
              <w:t xml:space="preserve">Distributes application and administrative traffic across the two application servers, with health checks, as an active-passive pair sharing one virtual address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Security information and event management on three virtual machines, for indexing, management and the dashboard, with log aggregation and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by two load balancer virtual machines, an active-passive pair on different application hosts, and the cluster also keeps the two instances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10 virtual machines: the secondary copy of the database, kept current by database replication; a domain controller, kept current by directory replication; and standby copies of the integration gateway, application server, load balancer, management and backup server virtual machines, one of each, and of the three security monitoring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18 virtual machines: the 16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5722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database node,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Among them is a standby copy of the load balancer, started with the same configuration and virtual address, so clients reach the application at the secondary site without being reconfigured.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5"/>
        <w:gridCol w:w="1120"/>
        <w:gridCol w:w="6075"/>
      </w:tblGrid>
      <w:tr>
        <w:trPr>
          <w:tblHeader/>
        </w:trPr>
        <w:tc>
          <w:tcPr>
            <w:tcW w:type="dxa" w:w="1825"/>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075"/>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one database node on each</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a protected drive pool, RAID 6 or the manufacturer's equivalent, encryption at rest, not less than 20 TB usable after RAID</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256 GB of memory, redundant power, internal storage of not less than 20 TB usable after RAID, running the 10 virtual machines of the secondary environment at the Purchaser's disaster recovery data center</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075"/>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075"/>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825"/>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075"/>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18"/>
        <w:gridCol w:w="5902"/>
      </w:tblGrid>
      <w:tr>
        <w:trPr>
          <w:tblHeader/>
        </w:trPr>
        <w:tc>
          <w:tcPr>
            <w:tcW w:type="dxa" w:w="3118"/>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902"/>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902"/>
            <w:tcMar>
              <w:top w:type="dxa" w:w="60"/>
              <w:left w:type="dxa" w:w="100"/>
              <w:bottom w:type="dxa" w:w="60"/>
              <w:right w:type="dxa" w:w="100"/>
            </w:tcMar>
          </w:tcPr>
          <w:p>
            <w:pPr>
              <w:spacing w:after="0" w:before="0"/>
            </w:pPr>
            <w:r>
              <w:rPr>
                <w:b w:val="false"/>
                <w:bCs w:val="false"/>
                <w:i w:val="false"/>
                <w:iCs w:val="false"/>
              </w:rPr>
              <w:t xml:space="preserve">All hosts, primary and secondary: Windows Server Datacenter on the application hosts and the secondary host, and Windows Server Standard on the database hosts. One platform provides both, with failover clustering of the application hosts and of the database hosts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902"/>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902"/>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902"/>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902"/>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902"/>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902"/>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902"/>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902"/>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902"/>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902"/>
            <w:tcMar>
              <w:top w:type="dxa" w:w="60"/>
              <w:left w:type="dxa" w:w="100"/>
              <w:bottom w:type="dxa" w:w="60"/>
              <w:right w:type="dxa" w:w="100"/>
            </w:tcMar>
          </w:tcPr>
          <w:p>
            <w:pPr>
              <w:spacing w:after="0" w:before="0"/>
            </w:pPr>
            <w:r>
              <w:rPr>
                <w:b w:val="false"/>
                <w:bCs w:val="false"/>
                <w:i w:val="false"/>
                <w:iCs w:val="false"/>
              </w:rPr>
              <w:t xml:space="preserve">The storage array, all switches and all firewalls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902"/>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Monitoring, log aggregation and security information and event management: MDR / MSOC</w:t>
            </w:r>
          </w:p>
        </w:tc>
        <w:tc>
          <w:tcPr>
            <w:tcW w:type="dxa" w:w="5902"/>
            <w:tcMar>
              <w:top w:type="dxa" w:w="60"/>
              <w:left w:type="dxa" w:w="100"/>
              <w:bottom w:type="dxa" w:w="60"/>
              <w:right w:type="dxa" w:w="100"/>
            </w:tcMar>
          </w:tcPr>
          <w:p>
            <w:pPr>
              <w:spacing w:after="0" w:before="0"/>
            </w:pPr>
            <w:r>
              <w:rPr>
                <w:b w:val="false"/>
                <w:bCs w:val="false"/>
                <w:i w:val="false"/>
                <w:iCs w:val="false"/>
              </w:rPr>
              <w:t xml:space="preserve">All infrastructure, application and security sources across the estate</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902"/>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118"/>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902"/>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684e3e2e122fc37edabc3836ef2293f32acc5b48.png"/><Relationship Id="rId13" Type="http://schemas.openxmlformats.org/officeDocument/2006/relationships/image" Target="media/895c0d4d99b5aec0ed41964f6f57ebf2f4682487.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77b2a768a6481f0fae733d724f51a29d9cac4cca.png"/><Relationship Id="rId18" Type="http://schemas.openxmlformats.org/officeDocument/2006/relationships/image" Target="media/f2db1ef0bdf3253f63884b03d09569e84a9c059c.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2026-10-12T12:35:40.292Z</dcterms:created>
  <dcterms:modified xsi:type="dcterms:W3CDTF">2026-10-12T12:35:40.292Z</dcterms:modified>
</cp:coreProperties>
</file>

<file path=docProps/custom.xml><?xml version="1.0" encoding="utf-8"?>
<Properties xmlns="http://schemas.openxmlformats.org/officeDocument/2006/custom-properties" xmlns:vt="http://schemas.openxmlformats.org/officeDocument/2006/docPropsVTypes"/>
</file>