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661"/>
        <w:gridCol w:w="44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661"/>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661"/>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469"/>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experience in secure ID card and secure document programs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digital certificates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438"/>
        <w:gridCol w:w="3352"/>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438"/>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352"/>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352"/>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352"/>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a laser station taken out of service mid-batch; assisting calibration</w:t>
            </w:r>
          </w:p>
        </w:tc>
        <w:tc>
          <w:tcPr>
            <w:tcW w:type="dxa" w:w="3352"/>
            <w:tcMar>
              <w:top w:type="dxa" w:w="60"/>
              <w:left w:type="dxa" w:w="100"/>
              <w:bottom w:type="dxa" w:w="60"/>
              <w:right w:type="dxa" w:w="100"/>
            </w:tcMar>
          </w:tcPr>
          <w:p>
            <w:pPr>
              <w:spacing w:after="0" w:before="0"/>
            </w:pPr>
            <w:r>
              <w:rPr>
                <w:b w:val="false"/>
                <w:bCs w:val="false"/>
                <w:i w:val="false"/>
                <w:iCs w:val="false"/>
              </w:rPr>
              <w:t xml:space="preserve">Take a station out of service during a run and confirm production continues on the others;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352"/>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72"/>
        <w:gridCol w:w="6448"/>
      </w:tblGrid>
      <w:tr>
        <w:trPr>
          <w:tblHeader/>
        </w:trPr>
        <w:tc>
          <w:tcPr>
            <w:tcW w:type="dxa" w:w="257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44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44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44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448"/>
            <w:tcMar>
              <w:top w:type="dxa" w:w="60"/>
              <w:left w:type="dxa" w:w="100"/>
              <w:bottom w:type="dxa" w:w="60"/>
              <w:right w:type="dxa" w:w="100"/>
            </w:tcMar>
          </w:tcPr>
          <w:p>
            <w:pPr>
              <w:spacing w:after="0" w:before="0"/>
            </w:pPr>
            <w:r>
              <w:rPr>
                <w:b w:val="false"/>
                <w:bCs w:val="false"/>
                <w:i w:val="false"/>
                <w:iCs w:val="false"/>
              </w:rPr>
              <w:t xml:space="preserve">Production continues on the remaining stations, and the event is reported to the supervisor</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44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44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44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44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Independent 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A station is switched off and taken out of operation during a run, and production continues without interruption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19"/>
        <w:gridCol w:w="3561"/>
        <w:gridCol w:w="2640"/>
      </w:tblGrid>
      <w:tr>
        <w:trPr>
          <w:tblHeader/>
        </w:trPr>
        <w:tc>
          <w:tcPr>
            <w:tcW w:type="dxa" w:w="2819"/>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61"/>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cooling, feeders and card transport</w:t>
            </w:r>
          </w:p>
        </w:tc>
        <w:tc>
          <w:tcPr>
            <w:tcW w:type="dxa" w:w="3561"/>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40"/>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61"/>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61"/>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61"/>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61"/>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61"/>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61"/>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61"/>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61"/>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cooling,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Platform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876"/>
        <w:gridCol w:w="2015"/>
        <w:gridCol w:w="37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876"/>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78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876"/>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015"/>
            <w:tcMar>
              <w:top w:type="dxa" w:w="60"/>
              <w:left w:type="dxa" w:w="100"/>
              <w:bottom w:type="dxa" w:w="60"/>
              <w:right w:type="dxa" w:w="100"/>
            </w:tcMar>
          </w:tcPr>
          <w:p>
            <w:pPr>
              <w:spacing w:after="0" w:before="0"/>
            </w:pPr>
            <w:r>
              <w:rPr>
                <w:b w:val="false"/>
                <w:bCs w:val="false"/>
                <w:i w:val="false"/>
                <w:iCs w:val="false"/>
              </w:rPr>
              <w:t xml:space="preserve">240 core licenses: 5 hosts of two 24-core processors, 4 at the primary site and 1 at the secondary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server operating system and Hyper-V on every host, failover clustering of the application hosts and of the database hosts, and the Windows Server virtual machines those hosts run, including the domain controllers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015"/>
            <w:tcMar>
              <w:top w:type="dxa" w:w="60"/>
              <w:left w:type="dxa" w:w="100"/>
              <w:bottom w:type="dxa" w:w="60"/>
              <w:right w:type="dxa" w:w="100"/>
            </w:tcMar>
          </w:tcPr>
          <w:p>
            <w:pPr>
              <w:spacing w:after="0" w:before="0"/>
            </w:pPr>
            <w:r>
              <w:rPr>
                <w:b w:val="false"/>
                <w:bCs w:val="false"/>
                <w:i w:val="false"/>
                <w:iCs w:val="false"/>
              </w:rPr>
              <w:t xml:space="preserve">One for each person holding an account on the system</w:t>
            </w:r>
          </w:p>
        </w:tc>
        <w:tc>
          <w:tcPr>
            <w:tcW w:type="dxa" w:w="3789"/>
            <w:tcMar>
              <w:top w:type="dxa" w:w="60"/>
              <w:left w:type="dxa" w:w="100"/>
              <w:bottom w:type="dxa" w:w="60"/>
              <w:right w:type="dxa" w:w="100"/>
            </w:tcMar>
          </w:tcPr>
          <w:p>
            <w:pPr>
              <w:spacing w:after="0" w:before="0"/>
            </w:pPr>
            <w:r>
              <w:rPr>
                <w:b w:val="false"/>
                <w:bCs w:val="false"/>
                <w:i w:val="false"/>
                <w:iCs w:val="false"/>
              </w:rPr>
              <w:t xml:space="preserve">Access by users to the Windows Server estate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876"/>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015"/>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876"/>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378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015"/>
            <w:tcMar>
              <w:top w:type="dxa" w:w="60"/>
              <w:left w:type="dxa" w:w="100"/>
              <w:bottom w:type="dxa" w:w="60"/>
              <w:right w:type="dxa" w:w="100"/>
            </w:tcMar>
          </w:tcPr>
          <w:p>
            <w:pPr>
              <w:spacing w:after="0" w:before="0"/>
            </w:pPr>
            <w:r>
              <w:rPr>
                <w:b w:val="false"/>
                <w:bCs w:val="false"/>
                <w:i w:val="false"/>
                <w:iCs w:val="false"/>
              </w:rPr>
              <w:t xml:space="preserve">10</w:t>
            </w:r>
          </w:p>
        </w:tc>
        <w:tc>
          <w:tcPr>
            <w:tcW w:type="dxa" w:w="378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unit</w:t>
            </w:r>
          </w:p>
        </w:tc>
        <w:tc>
          <w:tcPr>
            <w:tcW w:type="dxa" w:w="2015"/>
            <w:tcMar>
              <w:top w:type="dxa" w:w="60"/>
              <w:left w:type="dxa" w:w="100"/>
              <w:bottom w:type="dxa" w:w="60"/>
              <w:right w:type="dxa" w:w="100"/>
            </w:tcMar>
          </w:tcPr>
          <w:p>
            <w:pPr>
              <w:spacing w:after="0" w:before="0"/>
            </w:pPr>
            <w:r>
              <w:rPr>
                <w:b w:val="false"/>
                <w:bCs w:val="false"/>
                <w:i w:val="false"/>
                <w:iCs w:val="false"/>
              </w:rPr>
              <w:t xml:space="preserve">4, two at each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the primary and secondary sites</w:t>
            </w:r>
          </w:p>
        </w:tc>
      </w:tr>
    </w:tbl>
    <w:p>
      <w:pPr>
        <w:spacing w:after="140"/>
      </w:pPr>
    </w:p>
    <w:p>
      <w:pPr>
        <w:spacing w:after="140" w:line="276"/>
      </w:pPr>
      <w:r>
        <w:rPr>
          <w:b w:val="false"/>
          <w:bCs w:val="false"/>
          <w:i w:val="false"/>
          <w:iCs w:val="false"/>
        </w:rPr>
        <w:t xml:space="preserve">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pPr>
        <w:spacing w:after="140" w:line="276"/>
      </w:pPr>
      <w:r>
        <w:rPr>
          <w:b/>
          <w:bCs/>
          <w:i w:val="false"/>
          <w:iCs w:val="false"/>
        </w:rPr>
        <w:t xml:space="preserve">Security and operations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340"/>
        <w:gridCol w:w="3365"/>
        <w:gridCol w:w="2535"/>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336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535"/>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Event volume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full event volume of the estate</w:t>
            </w:r>
          </w:p>
        </w:tc>
        <w:tc>
          <w:tcPr>
            <w:tcW w:type="dxa" w:w="2535"/>
            <w:tcMar>
              <w:top w:type="dxa" w:w="60"/>
              <w:left w:type="dxa" w:w="100"/>
              <w:bottom w:type="dxa" w:w="60"/>
              <w:right w:type="dxa" w:w="100"/>
            </w:tcMar>
          </w:tcPr>
          <w:p>
            <w:pPr>
              <w:spacing w:after="0" w:before="0"/>
            </w:pPr>
            <w:r>
              <w:rPr>
                <w:b w:val="false"/>
                <w:bCs w:val="false"/>
                <w:i w:val="false"/>
                <w:iCs w:val="false"/>
              </w:rPr>
              <w:t xml:space="preserve">Collection and correlation across all sources, and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3365"/>
            <w:tcMar>
              <w:top w:type="dxa" w:w="60"/>
              <w:left w:type="dxa" w:w="100"/>
              <w:bottom w:type="dxa" w:w="60"/>
              <w:right w:type="dxa" w:w="100"/>
            </w:tcMar>
          </w:tcPr>
          <w:p>
            <w:pPr>
              <w:spacing w:after="0" w:before="0"/>
            </w:pPr>
            <w:r>
              <w:rPr>
                <w:b w:val="false"/>
                <w:bCs w:val="false"/>
                <w:i w:val="false"/>
                <w:iCs w:val="false"/>
              </w:rPr>
              <w:t xml:space="preserve">35: the 5 hosts; 20 virtual machines, being the 16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535"/>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535"/>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535"/>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34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3365"/>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monitored node</w:t>
            </w:r>
          </w:p>
        </w:tc>
        <w:tc>
          <w:tcPr>
            <w:tcW w:type="dxa" w:w="3365"/>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c>
          <w:tcPr>
            <w:tcW w:type="dxa" w:w="2535"/>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535"/>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3365"/>
            <w:tcMar>
              <w:top w:type="dxa" w:w="60"/>
              <w:left w:type="dxa" w:w="100"/>
              <w:bottom w:type="dxa" w:w="60"/>
              <w:right w:type="dxa" w:w="100"/>
            </w:tcMar>
          </w:tcPr>
          <w:p>
            <w:pPr>
              <w:spacing w:after="0" w:before="0"/>
            </w:pPr>
            <w:r>
              <w:rPr>
                <w:b w:val="false"/>
                <w:bCs w:val="false"/>
                <w:i w:val="false"/>
                <w:iCs w:val="false"/>
              </w:rPr>
              <w:t xml:space="preserve">16, the production virtual machines at the primary site, with configuration and audit logs, replicated to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34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3365"/>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storage array, 5 switches and 2 firewalls at the primary site, and 1 switch and 1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3365"/>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2"/>
        <w:gridCol w:w="5988"/>
      </w:tblGrid>
      <w:tr>
        <w:trPr>
          <w:tblHeader/>
        </w:trPr>
        <w:tc>
          <w:tcPr>
            <w:tcW w:type="dxa" w:w="3032"/>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88"/>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client access licenses</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88"/>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bulk SMS service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client access licenses, multi-factor authentication, privileged access management</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88"/>
            <w:tcMar>
              <w:top w:type="dxa" w:w="60"/>
              <w:left w:type="dxa" w:w="100"/>
              <w:bottom w:type="dxa" w:w="60"/>
              <w:right w:type="dxa" w:w="100"/>
            </w:tcMar>
          </w:tcPr>
          <w:p>
            <w:pPr>
              <w:spacing w:after="0" w:before="0"/>
            </w:pPr>
            <w:r>
              <w:rPr>
                <w:b w:val="false"/>
                <w:bCs w:val="false"/>
                <w:i w:val="false"/>
                <w:iCs w:val="false"/>
              </w:rPr>
              <w:t xml:space="preserve">Security information and event management, endpoint detection and response, vulnerability scanning</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8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88"/>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93"/>
        <w:gridCol w:w="6227"/>
      </w:tblGrid>
      <w:tr>
        <w:trPr>
          <w:tblHeader/>
        </w:trPr>
        <w:tc>
          <w:tcPr>
            <w:tcW w:type="dxa" w:w="2793"/>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27"/>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Windows Server and client access licenses</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Subscriptions: security, operations, firewall, storage array and network device support, and the bulk SMS service</w:t>
            </w:r>
          </w:p>
        </w:tc>
        <w:tc>
          <w:tcPr>
            <w:tcW w:type="dxa" w:w="6227"/>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2026-10-09T10:01:53.969Z</dcterms:created>
  <dcterms:modified xsi:type="dcterms:W3CDTF">2026-10-09T10:01:53.969Z</dcterms:modified>
</cp:coreProperties>
</file>

<file path=docProps/custom.xml><?xml version="1.0" encoding="utf-8"?>
<Properties xmlns="http://schemas.openxmlformats.org/officeDocument/2006/custom-properties" xmlns:vt="http://schemas.openxmlformats.org/officeDocument/2006/docPropsVTypes"/>
</file>