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r>
        <w:br w:type="page"/>
      </w:r>
    </w:p>
    <w:p>
      <w:r>
        <w:br w:type="page"/>
      </w:r>
    </w:p>
    <w:p>
      <w:pPr>
        <w:pStyle w:val="Heading1"/>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69"/>
        <w:gridCol w:w="1561"/>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69"/>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69"/>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1"/>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69"/>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69"/>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1"/>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69"/>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69"/>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69"/>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69"/>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r>
        <w:br w:type="page"/>
      </w:r>
    </w:p>
    <w:p>
      <w:r>
        <w:br w:type="page"/>
      </w:r>
    </w:p>
    <w:p>
      <w:pPr>
        <w:pStyle w:val="Heading1"/>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6920"/>
      </w:tblGrid>
      <w:tr>
        <w:trPr>
          <w:tblHeader/>
        </w:trPr>
        <w:tc>
          <w:tcPr>
            <w:tcW w:type="dxa" w:w="210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2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20"/>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20"/>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20"/>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20"/>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Air compressor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Supplies the pneumatic transport and handling functions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20"/>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20"/>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20"/>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4"/>
        <w:gridCol w:w="6656"/>
      </w:tblGrid>
      <w:tr>
        <w:trPr>
          <w:tblHeader/>
        </w:trPr>
        <w:tc>
          <w:tcPr>
            <w:tcW w:type="dxa" w:w="2364"/>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56"/>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2,000 cards per hour, duplex</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56"/>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56"/>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56"/>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56"/>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r>
        <w:br w:type="page"/>
      </w:r>
    </w:p>
    <w:p>
      <w:r>
        <w:br w:type="page"/>
      </w:r>
    </w:p>
    <w:p>
      <w:pPr>
        <w:pStyle w:val="Heading1"/>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comply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are provided, from an independent international laboratory holding ISO/IEC 17025 accreditation with a scope covering these standards, dated within the last three years, and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r>
        <w:br w:type="page"/>
      </w:r>
    </w:p>
    <w:p>
      <w:r>
        <w:br w:type="page"/>
      </w:r>
    </w:p>
    <w:p>
      <w:pPr>
        <w:pStyle w:val="Heading1"/>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r>
        <w:br w:type="page"/>
      </w:r>
    </w:p>
    <w:p>
      <w:r>
        <w:br w:type="page"/>
      </w:r>
    </w:p>
    <w:p>
      <w:pPr>
        <w:pStyle w:val="Heading1"/>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r>
        <w:br w:type="page"/>
      </w:r>
    </w:p>
    <w:p>
      <w:r>
        <w:br w:type="page"/>
      </w:r>
    </w:p>
    <w:p>
      <w:pPr>
        <w:pStyle w:val="Heading1"/>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r>
        <w:br w:type="page"/>
      </w:r>
    </w:p>
    <w:p>
      <w:r>
        <w:br w:type="page"/>
      </w:r>
    </w:p>
    <w:p>
      <w:pPr>
        <w:pStyle w:val="Heading1"/>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r>
        <w:br w:type="page"/>
      </w:r>
    </w:p>
    <w:p>
      <w:r>
        <w:br w:type="page"/>
      </w:r>
    </w:p>
    <w:p>
      <w:pPr>
        <w:pStyle w:val="Heading1"/>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solid-state drives in a protected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The application cluster of two hosts carries the integration, application, machine control, management and security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Application cluster with automated failover over the storage array, carrying the integration, application, machine control, management and security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with dual controllers, redundant power and solid-state drives in a protected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Redundant pair carrying the zone VLANs and the storage network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Access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Machine Control Zone, each serving one personalization line and one mailing line, physically separate from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 the directory, authentication and name resolution for the estate, and its common time source. A second domain controller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log aggregation,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Backup scheduling, cataloging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which the cluster keeps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secondary copy of the database, kept current by database replication; a domain controller, kept current by directory replication; and standby copies, one of each, of the integration gateway, application server, management, security monitoring and backup management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secondary copy of the database and the standby virtual machines, not less than 20 TB usable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secondary environment's network</w:t>
            </w:r>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They sit on their own network segment behind the firewall pair, isolated from every production zone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the resulting raw capacity, are confirmed during detailed design against the approved data volumes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segregated zones.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2"/>
        <w:gridCol w:w="7238"/>
      </w:tblGrid>
      <w:tr>
        <w:trPr>
          <w:tblHeader/>
        </w:trPr>
        <w:tc>
          <w:tcPr>
            <w:tcW w:type="dxa" w:w="1782"/>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7238"/>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DMZ</w:t>
            </w:r>
          </w:p>
        </w:tc>
        <w:tc>
          <w:tcPr>
            <w:tcW w:type="dxa" w:w="7238"/>
            <w:tcMar>
              <w:top w:type="dxa" w:w="60"/>
              <w:left w:type="dxa" w:w="100"/>
              <w:bottom w:type="dxa" w:w="60"/>
              <w:right w:type="dxa" w:w="100"/>
            </w:tcMar>
          </w:tcPr>
          <w:p>
            <w:pPr>
              <w:spacing w:after="0" w:before="0"/>
            </w:pPr>
            <w:r>
              <w:rPr>
                <w:b w:val="false"/>
                <w:bCs w:val="false"/>
                <w:i w:val="false"/>
                <w:iCs w:val="false"/>
              </w:rPr>
              <w:t xml:space="preserve">Provisioned for externally exposed services. No service is deployed there at go-live</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w:t>
            </w:r>
          </w:p>
        </w:tc>
      </w:tr>
      <w:tr>
        <w:tc>
          <w:tcPr>
            <w:tcW w:type="dxa" w:w="1782"/>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7238"/>
            <w:tcMar>
              <w:top w:type="dxa" w:w="60"/>
              <w:left w:type="dxa" w:w="100"/>
              <w:bottom w:type="dxa" w:w="60"/>
              <w:right w:type="dxa" w:w="100"/>
            </w:tcMar>
          </w:tcPr>
          <w:p>
            <w:pPr>
              <w:spacing w:after="0" w:before="0"/>
            </w:pPr>
            <w:r>
              <w:rPr>
                <w:b w:val="false"/>
                <w:bCs w:val="false"/>
                <w:i w:val="false"/>
                <w:iCs w:val="false"/>
              </w:rPr>
              <w:t xml:space="preserve">Administration, monitoring, logging and backup infrastructure, and the security services: security information and event management, endpoint management and privileged access management</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Management and Monitoring Zone is the management and security zone, and the DMZ is reserved for externally exposed services.</w:t>
      </w:r>
    </w:p>
    <w:p>
      <w:pPr>
        <w:spacing w:after="140" w:line="276"/>
      </w:pPr>
      <w:r>
        <w:rPr>
          <w:b w:val="false"/>
          <w:bCs w:val="false"/>
          <w:i w:val="false"/>
          <w:iCs w:val="false"/>
        </w:rPr>
        <w:t xml:space="preserve">Each zone is a separate VLAN, and traffic between zones is routed only through the firewall pair, which applies the zone policy and intrusion prevention.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486400"/>
                    </a:xfrm>
                    <a:prstGeom prst="rect">
                      <a:avLst/>
                    </a:prstGeom>
                  </pic:spPr>
                </pic:pic>
              </a:graphicData>
            </a:graphic>
          </wp:inline>
        </w:drawing>
      </w:r>
    </w:p>
    <w:p>
      <w:pPr>
        <w:spacing w:after="200"/>
        <w:jc w:val="center"/>
      </w:pPr>
      <w:r>
        <w:rPr>
          <w:b w:val="false"/>
          <w:bCs w:val="false"/>
          <w:i/>
          <w:iCs/>
        </w:rPr>
        <w:t xml:space="preserve">Figure 9.1: Network zones. Every path between zones passes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two access switches of their own rather than to the core pair, each serving one personalization line and one mailing line, so the equipment is separated physically as well as logically, and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network is carried separately.</w:t>
      </w:r>
      <w:r>
        <w:rPr>
          <w:b w:val="false"/>
          <w:bCs w:val="false"/>
          <w:i w:val="false"/>
          <w:iCs w:val="false"/>
        </w:rPr>
        <w:t xml:space="preserve"> Traffic between the virtualization hosts and the storage array is placed on its own network segment rather than sharing the zone VLANs, so that storage traffic and application traffic do not compete, and so that the storage array is not reachable from the service zones.</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on their own segment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on a separate management segment, reached from the system administration workstations under a recorded break-glass procedure when the administrative access host is itself unavailable. The hardware security modules sit on a segment of the Application Zone that only the Signing Service can reach, so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their own segment behind the firewall pair, isolated from every production zone,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access switch, a host, a database node, a storage controller, a core switch, a firewall or a hardware security module reduces throughput, or pauses it for the failover window, rather than stopping production.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It holds a running replicated copy of the production database, standby copies of the service virtual machines kept current by replication and started on failover, and the offsite backup copies, so that recovery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backups of databases, configuration, application systems and audit logs to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1"/>
        <w:gridCol w:w="1120"/>
        <w:gridCol w:w="5889"/>
      </w:tblGrid>
      <w:tr>
        <w:trPr>
          <w:tblHeader/>
        </w:trPr>
        <w:tc>
          <w:tcPr>
            <w:tcW w:type="dxa" w:w="201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5889"/>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889"/>
            <w:tcMar>
              <w:top w:type="dxa" w:w="60"/>
              <w:left w:type="dxa" w:w="100"/>
              <w:bottom w:type="dxa" w:w="60"/>
              <w:right w:type="dxa" w:w="100"/>
            </w:tcMar>
          </w:tcPr>
          <w:p>
            <w:pPr>
              <w:spacing w:after="0" w:before="0"/>
            </w:pPr>
            <w:r>
              <w:rPr>
                <w:b w:val="false"/>
                <w:bCs w:val="false"/>
                <w:i w:val="false"/>
                <w:iCs w:val="false"/>
              </w:rPr>
              <w:t xml:space="preserve">Enterprise rack servers,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889"/>
            <w:tcMar>
              <w:top w:type="dxa" w:w="60"/>
              <w:left w:type="dxa" w:w="100"/>
              <w:bottom w:type="dxa" w:w="60"/>
              <w:right w:type="dxa" w:w="100"/>
            </w:tcMar>
          </w:tcPr>
          <w:p>
            <w:pPr>
              <w:spacing w:after="0" w:before="0"/>
            </w:pPr>
            <w:r>
              <w:rPr>
                <w:b w:val="false"/>
                <w:bCs w:val="false"/>
                <w:i w:val="false"/>
                <w:iCs w:val="false"/>
              </w:rPr>
              <w:t xml:space="preserve">Enterprise rack servers, redundant power, redundant paths to both controllers of the storage array with multipath, clustered, one database node on each</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889"/>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solid-state drives in a protected pool, RAID 6 or the manufacturer's equivalent, encryption at rest, not less than 20 TB usable</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889"/>
            <w:tcMar>
              <w:top w:type="dxa" w:w="60"/>
              <w:left w:type="dxa" w:w="100"/>
              <w:bottom w:type="dxa" w:w="60"/>
              <w:right w:type="dxa" w:w="100"/>
            </w:tcMar>
          </w:tcPr>
          <w:p>
            <w:pPr>
              <w:spacing w:after="0" w:before="0"/>
            </w:pPr>
            <w:r>
              <w:rPr>
                <w:b w:val="false"/>
                <w:bCs w:val="false"/>
                <w:i w:val="false"/>
                <w:iCs w:val="false"/>
              </w:rPr>
              <w:t xml:space="preserve">Not less than 40 TB usable, with retention that no administrator can override</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889"/>
            <w:tcMar>
              <w:top w:type="dxa" w:w="60"/>
              <w:left w:type="dxa" w:w="100"/>
              <w:bottom w:type="dxa" w:w="60"/>
              <w:right w:type="dxa" w:w="100"/>
            </w:tcMar>
          </w:tcPr>
          <w:p>
            <w:pPr>
              <w:spacing w:after="0" w:before="0"/>
            </w:pPr>
            <w:r>
              <w:rPr>
                <w:b w:val="false"/>
                <w:bCs w:val="false"/>
                <w:i w:val="false"/>
                <w:iCs w:val="false"/>
              </w:rPr>
              <w:t xml:space="preserve">Standby service virtual machines and the secondary copy of the database at the Purchaser's disaster recovery data center</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Storage array,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889"/>
            <w:tcMar>
              <w:top w:type="dxa" w:w="60"/>
              <w:left w:type="dxa" w:w="100"/>
              <w:bottom w:type="dxa" w:w="60"/>
              <w:right w:type="dxa" w:w="100"/>
            </w:tcMar>
          </w:tcPr>
          <w:p>
            <w:pPr>
              <w:spacing w:after="0" w:before="0"/>
            </w:pPr>
            <w:r>
              <w:rPr>
                <w:b w:val="false"/>
                <w:bCs w:val="false"/>
                <w:i w:val="false"/>
                <w:iCs w:val="false"/>
              </w:rPr>
              <w:t xml:space="preserve">Enterprise storage array, encryption at rest, not less than 20 TB usable</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889"/>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889"/>
            <w:tcMar>
              <w:top w:type="dxa" w:w="60"/>
              <w:left w:type="dxa" w:w="100"/>
              <w:bottom w:type="dxa" w:w="60"/>
              <w:right w:type="dxa" w:w="100"/>
            </w:tcMar>
          </w:tcPr>
          <w:p>
            <w:pPr>
              <w:spacing w:after="0" w:before="0"/>
            </w:pPr>
            <w:r>
              <w:rPr>
                <w:b w:val="false"/>
                <w:bCs w:val="false"/>
                <w:i w:val="false"/>
                <w:iCs w:val="false"/>
              </w:rPr>
              <w:t xml:space="preserve">Redundant pair, zone VLANs and the storage network</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Access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889"/>
            <w:tcMar>
              <w:top w:type="dxa" w:w="60"/>
              <w:left w:type="dxa" w:w="100"/>
              <w:bottom w:type="dxa" w:w="60"/>
              <w:right w:type="dxa" w:w="100"/>
            </w:tcMar>
          </w:tcPr>
          <w:p>
            <w:pPr>
              <w:spacing w:after="0" w:before="0"/>
            </w:pPr>
            <w:r>
              <w:rPr>
                <w:b w:val="false"/>
                <w:bCs w:val="false"/>
                <w:i w:val="false"/>
                <w:iCs w:val="false"/>
              </w:rPr>
              <w:t xml:space="preserve">Machine Control Zone, each serving one personalization line and one mailing line</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889"/>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889"/>
            <w:tcMar>
              <w:top w:type="dxa" w:w="60"/>
              <w:left w:type="dxa" w:w="100"/>
              <w:bottom w:type="dxa" w:w="60"/>
              <w:right w:type="dxa" w:w="100"/>
            </w:tcMar>
          </w:tcPr>
          <w:p>
            <w:pPr>
              <w:spacing w:after="0" w:before="0"/>
            </w:pPr>
            <w:r>
              <w:rPr>
                <w:b w:val="false"/>
                <w:bCs w:val="false"/>
                <w:i w:val="false"/>
                <w:iCs w:val="false"/>
              </w:rPr>
              <w:t xml:space="preserve">Zone policy and intrusion prevention for the secondary environment</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5889"/>
            <w:tcMar>
              <w:top w:type="dxa" w:w="60"/>
              <w:left w:type="dxa" w:w="100"/>
              <w:bottom w:type="dxa" w:w="60"/>
              <w:right w:type="dxa" w:w="100"/>
            </w:tcMar>
          </w:tcPr>
          <w:p>
            <w:pPr>
              <w:spacing w:after="0" w:before="0"/>
            </w:pPr>
            <w:r>
              <w:rPr>
                <w:b w:val="false"/>
                <w:bCs w:val="false"/>
                <w:i w:val="false"/>
                <w:iCs w:val="false"/>
              </w:rPr>
              <w:t xml:space="preserve">The secondary environment's network</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5889"/>
            <w:tcMar>
              <w:top w:type="dxa" w:w="60"/>
              <w:left w:type="dxa" w:w="100"/>
              <w:bottom w:type="dxa" w:w="60"/>
              <w:right w:type="dxa" w:w="100"/>
            </w:tcMar>
          </w:tcPr>
          <w:p>
            <w:pPr>
              <w:spacing w:after="0" w:before="0"/>
            </w:pPr>
            <w:r>
              <w:rPr>
                <w:b w:val="false"/>
                <w:bCs w:val="false"/>
                <w:i w:val="false"/>
                <w:iCs w:val="false"/>
              </w:rPr>
              <w:t xml:space="preserve">High availability pair, FIPS 140-2 or FIPS 140-3 validated</w:t>
            </w:r>
          </w:p>
        </w:tc>
      </w:tr>
      <w:tr>
        <w:tc>
          <w:tcPr>
            <w:tcW w:type="dxa" w:w="2011"/>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5889"/>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2011"/>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5889"/>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39"/>
        <w:gridCol w:w="5581"/>
      </w:tblGrid>
      <w:tr>
        <w:trPr>
          <w:tblHeader/>
        </w:trPr>
        <w:tc>
          <w:tcPr>
            <w:tcW w:type="dxa" w:w="3439"/>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58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581"/>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581"/>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581"/>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581"/>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581"/>
            <w:tcMar>
              <w:top w:type="dxa" w:w="60"/>
              <w:left w:type="dxa" w:w="100"/>
              <w:bottom w:type="dxa" w:w="60"/>
              <w:right w:type="dxa" w:w="100"/>
            </w:tcMar>
          </w:tcPr>
          <w:p>
            <w:pPr>
              <w:spacing w:after="0" w:before="0"/>
            </w:pPr>
            <w:r>
              <w:rPr>
                <w:b w:val="false"/>
                <w:bCs w:val="false"/>
                <w:i w:val="false"/>
                <w:iCs w:val="false"/>
              </w:rPr>
              <w:t xml:space="preserve">The immutable backup storage at each site</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581"/>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Backup and recovery platform</w:t>
            </w:r>
          </w:p>
        </w:tc>
        <w:tc>
          <w:tcPr>
            <w:tcW w:type="dxa" w:w="5581"/>
            <w:tcMar>
              <w:top w:type="dxa" w:w="60"/>
              <w:left w:type="dxa" w:w="100"/>
              <w:bottom w:type="dxa" w:w="60"/>
              <w:right w:type="dxa" w:w="100"/>
            </w:tcMar>
          </w:tcPr>
          <w:p>
            <w:pPr>
              <w:spacing w:after="0" w:before="0"/>
            </w:pPr>
            <w:r>
              <w:rPr>
                <w:b w:val="false"/>
                <w:bCs w:val="false"/>
                <w:i w:val="false"/>
                <w:iCs w:val="false"/>
              </w:rPr>
              <w:t xml:space="preserve">All protected systems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581"/>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581"/>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581"/>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581"/>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581"/>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581"/>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581"/>
            <w:tcMar>
              <w:top w:type="dxa" w:w="60"/>
              <w:left w:type="dxa" w:w="100"/>
              <w:bottom w:type="dxa" w:w="60"/>
              <w:right w:type="dxa" w:w="100"/>
            </w:tcMar>
          </w:tcPr>
          <w:p>
            <w:pPr>
              <w:spacing w:after="0" w:before="0"/>
            </w:pPr>
            <w:r>
              <w:rPr>
                <w:b w:val="false"/>
                <w:bCs w:val="false"/>
                <w:i w:val="false"/>
                <w:iCs w:val="false"/>
              </w:rPr>
              <w:t xml:space="preserve">Both storage arrays, all switches and all firewalls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581"/>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581"/>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581"/>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439"/>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581"/>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r>
        <w:br w:type="page"/>
      </w:r>
    </w:p>
    <w:p>
      <w:r>
        <w:br w:type="page"/>
      </w:r>
    </w:p>
    <w:p>
      <w:pPr>
        <w:pStyle w:val="Heading1"/>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two domain controllers, one in the Management and Monitoring Zone of the primary site and one at the secondary site, each holding a full copy of the directory kept current by directory replication, so that identity and authentication depend on no NRB service. While the domain controller at the primary site is restarted or patched, the one at the secondary site serves authentication and name resolution.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at the Card Production Facility,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292"/>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292"/>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292"/>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292"/>
            <w:tcMar>
              <w:top w:type="dxa" w:w="60"/>
              <w:left w:type="dxa" w:w="100"/>
              <w:bottom w:type="dxa" w:w="60"/>
              <w:right w:type="dxa" w:w="100"/>
            </w:tcMar>
          </w:tcPr>
          <w:p>
            <w:pPr>
              <w:spacing w:after="0" w:before="0"/>
            </w:pPr>
            <w:r>
              <w:rPr>
                <w:b w:val="false"/>
                <w:bCs w:val="false"/>
                <w:i w:val="false"/>
                <w:iCs w:val="false"/>
              </w:rPr>
              <w:t xml:space="preserve">Two modules, supplied, installed and configured under this Contract as a high availability pair</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292"/>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292"/>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two modules rather than one.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two modules are configured as a high availability pair. The Document Signer key is replicated between them over the modules' own protected channel, so the key exists in both and can be extracted from neither. The Signing Service addresses the pair rather than an individual module, and the loss of one module reduces signing capacity without interrupting production.</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pair</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A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429125"/>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modules and never leaves them;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r>
        <w:br w:type="page"/>
      </w:r>
    </w:p>
    <w:p>
      <w:r>
        <w:br w:type="page"/>
      </w:r>
    </w:p>
    <w:p>
      <w:pPr>
        <w:pStyle w:val="Heading1"/>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r>
        <w:br w:type="page"/>
      </w:r>
    </w:p>
    <w:p>
      <w:r>
        <w:br w:type="page"/>
      </w:r>
    </w:p>
    <w:p>
      <w:pPr>
        <w:pStyle w:val="Heading1"/>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81"/>
        <w:gridCol w:w="7039"/>
      </w:tblGrid>
      <w:tr>
        <w:trPr>
          <w:tblHeader/>
        </w:trPr>
        <w:tc>
          <w:tcPr>
            <w:tcW w:type="dxa" w:w="198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3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039"/>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039"/>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039"/>
            <w:tcMar>
              <w:top w:type="dxa" w:w="60"/>
              <w:left w:type="dxa" w:w="100"/>
              <w:bottom w:type="dxa" w:w="60"/>
              <w:right w:type="dxa" w:w="100"/>
            </w:tcMar>
          </w:tcPr>
          <w:p>
            <w:pPr>
              <w:spacing w:after="0" w:before="0"/>
            </w:pPr>
            <w:r>
              <w:rPr>
                <w:b w:val="false"/>
                <w:bCs w:val="false"/>
                <w:i w:val="false"/>
                <w:iCs w:val="false"/>
              </w:rPr>
              <w:t xml:space="preserve">All backup storage encrypted</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039"/>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039"/>
            <w:tcMar>
              <w:top w:type="dxa" w:w="60"/>
              <w:left w:type="dxa" w:w="100"/>
              <w:bottom w:type="dxa" w:w="60"/>
              <w:right w:type="dxa" w:w="100"/>
            </w:tcMar>
          </w:tcPr>
          <w:p>
            <w:pPr>
              <w:spacing w:after="0" w:before="0"/>
            </w:pPr>
            <w:r>
              <w:rPr>
                <w:b w:val="false"/>
                <w:bCs w:val="false"/>
                <w:i w:val="false"/>
                <w:iCs w:val="false"/>
              </w:rPr>
              <w:t xml:space="preserve">Replicated to the immutable backup storage of the secondary environment, at the Purchaser's disaster recovery data center</w:t>
            </w:r>
          </w:p>
        </w:tc>
      </w:tr>
      <w:tr>
        <w:tc>
          <w:tcPr>
            <w:tcW w:type="dxa" w:w="1981"/>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039"/>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w:t>
            </w:r>
          </w:p>
        </w:tc>
      </w:tr>
    </w:tbl>
    <w:p>
      <w:pPr>
        <w:spacing w:after="140"/>
      </w:pPr>
    </w:p>
    <w:p>
      <w:pPr>
        <w:spacing w:after="140" w:line="276"/>
      </w:pPr>
      <w:r>
        <w:rPr>
          <w:b/>
          <w:bCs/>
          <w:i w:val="false"/>
          <w:iCs w:val="false"/>
        </w:rPr>
        <w:t xml:space="preserve">Backup management.</w:t>
      </w:r>
      <w:r>
        <w:rPr>
          <w:b w:val="false"/>
          <w:bCs w:val="false"/>
          <w:i w:val="false"/>
          <w:iCs w:val="false"/>
        </w:rPr>
        <w:t xml:space="preserve"> A centralized console governs scheduling and policy,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management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r>
        <w:br w:type="page"/>
      </w:r>
    </w:p>
    <w:p>
      <w:r>
        <w:br w:type="page"/>
      </w:r>
    </w:p>
    <w:p>
      <w:pPr>
        <w:pStyle w:val="Heading1"/>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r>
        <w:br w:type="page"/>
      </w:r>
    </w:p>
    <w:p>
      <w:r>
        <w:br w:type="page"/>
      </w:r>
    </w:p>
    <w:p>
      <w:pPr>
        <w:pStyle w:val="Heading1"/>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cbb0b22776c8be8205a44f96d0e1055f4c3e9910.png"/><Relationship Id="rId18" Type="http://schemas.openxmlformats.org/officeDocument/2006/relationships/image" Target="media/053651630cbbafe1136042c6dfbbc0d3232dcad9.png"/><Relationship Id="rId19" Type="http://schemas.openxmlformats.org/officeDocument/2006/relationships/image" Target="media/e73ae738139e2b3b714be05ae7818f97cff598d5.png"/><Relationship Id="rId20" Type="http://schemas.openxmlformats.org/officeDocument/2006/relationships/image" Target="media/17291af9a21bccfd618a76ab887555a5a6496fd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2026-10-06T15:52:16.511Z</dcterms:created>
  <dcterms:modified xsi:type="dcterms:W3CDTF">2026-10-06T15:52:16.511Z</dcterms:modified>
</cp:coreProperties>
</file>

<file path=docProps/custom.xml><?xml version="1.0" encoding="utf-8"?>
<Properties xmlns="http://schemas.openxmlformats.org/officeDocument/2006/custom-properties" xmlns:vt="http://schemas.openxmlformats.org/officeDocument/2006/docPropsVTypes"/>
</file>