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(System Architecture Section 10.8).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10.8 and 13.2;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10.4, 10.7 and 10.8; Cybersecurity Risk Management Plan Sections 7.4 and 11.1</w:t>
            </w:r>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(System Architecture Section 10.8)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7.11, 8.3, 10.8 and 13.1</w:t>
            </w:r>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10.8; Cybersecurity Risk Management Plan Section 11.1;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7.10, 7.14, 10.8 and 13.1</w:t>
            </w:r>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4.1, 4.5, 6.10 and 11.1</w:t>
            </w:r>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(Preliminary Project Plan Section 1.1) and contain no gap assessment, bill of quantities, renovation method or plan for supervising the ancillary-equipment partner. Preliminary Project Plan Section 2.8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and 9.5; Preliminary Project Plan Sections 2.1 and 2.4; Cybersecurity Risk Management Plan Section 2.1;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 [CONFIRM: Depends on the card manufacturer's laboratory test reports, OEM letter and construction and feature confirmations (Document Register item 2.1, item 2.13, item 2.15 and item 2.16).]</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 4.1, 4.2, 4.4 and 4.6;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 [CONFIRM: The S8000 datasheet gives up to 2,000 cph per machine. Inkript to confirm, as Preliminary Project Plan Section 2.9 risk R3 requires, that each machine sustains at least 1,000 accepted cards per hour with full content, since the Responses to Queries 003 measure throughput on accepted finished cards. The laser datasheet lists neither tactile marking nor a 600 dpi resolution.]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3.2, 3.3 and 3.5;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 [CONFIRM: The MS1000 datasheet rates each machine at up to 1,000 cph standalone, exactly the required minimum with no margin, lists the card data reading station as optional, and runs Maticard Pro on Windows 8 and Windows 10. Inkript to confirm rate, QR reading and supported operating system with the OEM.]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5.4, 5.6 and 5.7;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 [CONFIRM: Depends on the OEM software list with license texts and the machine software scope statement (Document Register item 1.7 and item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6.14 and 12.2; Preliminary Project Plan Section 2.10;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3.3, 3.4, 3.5 and 3.7; System Architecture Section 12.4</w:t>
            </w:r>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1.2; Preliminary Project Plan Sections 2.1 and 2.2; Cybersecurity Risk Management Plan Section 2.1</w:t>
            </w:r>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19"/>
        <w:gridCol w:w="2001"/>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1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2.1, 6.1, 9.1 and 10.1</w:t>
            </w:r>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 [CONFIRM: The Responses to Queries 04 require secure web-based system management for both personalization and mailing, while station status, faults and calibration run in the manufacturer's local operator interface (System Architecture Section 6.13). Inkript to confirm the OEM software or the web consoles cover this.]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6.6, 6.12 and 6.13</w:t>
            </w:r>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6.12, 6.13 and 10.3</w:t>
            </w:r>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6.3, 6.11, 6.13 and 13.1; Preliminary Project Plan Section 2.4</w:t>
            </w:r>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2.3, 6.2 and 7.12</w:t>
            </w:r>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 [CONFIRM: These functions belong to the manufacturer's software. The S8000 datasheet lists grayscale, CLI/MLI and micro text but not tactile laser printing or calibration management; Inkript to confirm with the OEM.]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3.8 and 6.7;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System Architecture Section 8.6 and System Architecture Section 13.2 commit to engaging the operator and connecting its tracking service but leave physical delivery with NRB. Inkript to confirm the contracting position.]</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6.9, 8.3, 8.6 and 13.2</w:t>
            </w:r>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6.2 and 7.12</w:t>
            </w:r>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7.1, 7.2, 7.4 and 10.5</w:t>
            </w:r>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2.1, 4.5, 7.5, 7.14, 8.6, 10.7 and 13.2</w:t>
            </w:r>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9.1, 9.3, 9.4, 10.2 and 12.3</w:t>
            </w:r>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7.8, 9.1 and 10.2</w:t>
            </w:r>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System Architecture Section 10.3 runs the System's own directory. Inkript to confirm whether integration with NRB's Active Directory should also be offered.]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6.12, 9.4 and 10.3</w:t>
            </w:r>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7.4, 10.2, 10.4 and 10.5</w:t>
            </w:r>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9.2, 10.6 and 10.7</w:t>
            </w:r>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 [CONFIRM: Predictive maintenance depends on the equipment exposing the needed telemetry (System Architecture Section 12.2). Inkript to confirm with both equipment manufacturers.]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6.10, 6.11 and 12.2</w:t>
            </w:r>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6.2, 9.1, 9.3 and 12.3</w:t>
            </w:r>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in application and database clusters on a dual-controller RAID 6 array of not less than 20 TB usable, redundant core switches, a high availability firewall pair, two HSMs and immutable backup storage, with secure boot, and capacity grown by adding drives.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9.1 and 9.4</w:t>
            </w:r>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 [CONFIRM: The S8000 datasheet states up to 2,000 cph. Inkript to confirm each machine sustains at least 1,000 accepted duplex cards per hour with full content (Preliminary Project Plan Section 2.9 risk R3), and to obtain OEM evidence of independent station operation (Document Register item 1.13).]</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3.1, 3.4 and 3.5; Preliminary Project Plan Section 4.3;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 [CONFIRM: The S8000 datasheet shows no cooling or air compressor detail and lists vision inspection as an option, which must be ordered. The dedicated power and air pressure document with the compressor specification (Document Register item 1.4) is needed from the OEM.]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3.1 and 3.6;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 [CONFIRM: The MS1000 datasheet rates up to 1,000 cph per machine with no margin, lists the reading station as optional, and does not show sealing, buffer modules or dispatch sorting. Inkript to confirm the configuration and rate with the OEM.]</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5.1, 5.4, 5.5 and 5.6;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a replicated database within 5 minutes of the primary, standby virtual machines and immutable offsite backup copies, linked over an encrypted tunnel.</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9.1, 9.2, 9.3 and 12.3; Cybersecurity Risk Management Plan Section 8.1;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System Architecture Section 9.5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9.2, 9.5 and 13.1</w:t>
            </w:r>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All six zones are provided as separate VLANs, with traffic between them routed only through the next generation firewall pair under zone policy and intrusion prevention. The DMZ is provisioned with policy and addressing but carries no service at go-live, and the machine lines connect to their own physically separate access switches.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9.1 and 9.2</w:t>
            </w:r>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19"/>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9.2, 10.2 and 10.3</w:t>
            </w:r>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12.1; Change Management Plan Sections 5.1 and 5.2</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6.11, 9.5 and 12.2</w:t>
            </w:r>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10.3, 10.6 and 10.7</w:t>
            </w:r>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 [CONFIRM: Secure boot is stated for the hosts, virtual machines, backup storage and workstations, and signed firmware for the network, storage and security devices, but not for the equipment manufacturer's industrial control PCs on the personalization and mailing lines. The clause says all servers and devices, so Inkript to confirm secure boot on those PCs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9.1, 9.2, 10.2, 10.4, 10.5 and 10.7; Cybersecurity Risk Management Plan Sections 2.2 and 7.2</w:t>
            </w:r>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Scheduled, encrypted, verified full, incremental and differential database, configuration, application and audit log backups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11.5 and 11.6</w:t>
            </w:r>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 [CONFIRM: Responses to Queries 003 states that throughput is measured on accepted finished cards, while Preliminary Project Plan Section 4.6 measures cards per hour without stating that basis. At the contractual rate, two lines over fourteen hours give exactly 28,000 cards, so any reject brings accepted output below the daily figure unless the lines run above 1,000 cards per hour. Inkript to align the measurement basis and confirm with the manufacturer the sustained accepted-card rate with the full duplex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 [CONFIRM: The datasheet figure of 2,000 cards per hour is a maximum ('up to'), not a measured sustained rate. Inkript to obtain the manufacturer's throughput test record for duplex personalization with the full card content before relying on the margin.]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3.7, 6.2 and 11.1;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 [CONFIRM: The attached mailing system datasheet rates the machine at 'up to 1000 cph', exactly the contractual minimum per machine, which leaves no margin for rejects, stoppages or multi-card mailers, while operational acceptance test 4 requires 95 percent of nominal capacity at peak. The datasheet also describes the model as ideal for small to medium volumes. Inkript to confirm the sustained rate with the manufacturer or consider a higher-rated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5.5, 5.6 and 11.1;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11.2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11.2 and 11.6</w:t>
            </w:r>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 [CONFIRM: The 5 minute synchronization depends on the bandwidth and latency of the Government Wide Area Network link, which the Purchaser provisions against the Supplier's stated requirements (Responses to Queries 04). Inkript to state the required link figures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9.3; Preliminary Project Plan Section 4.4;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11.3 and 11.6</w:t>
            </w:r>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6.13, 10.5 and 11.3</w:t>
            </w:r>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9.1, 10.3 and 11.3</w:t>
            </w:r>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6.2, 7.12 and 11.4</w:t>
            </w:r>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5.4, 8.1, 8.3, 8.6 and 11.4</w:t>
            </w:r>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6.12, 6.13, 10.7, 11.4 and 12.1</w:t>
            </w:r>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7.6, 9.1, 11.4 and 11.5</w:t>
            </w:r>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and 11.4</w:t>
            </w:r>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10.6 and 11.4</w:t>
            </w:r>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11.5; Change Management Plan Section 5.2</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11.6 and 12.2</w:t>
            </w:r>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11.6; Preliminary Project Plan Sections 4.3, 4.4, 4.5 and 4.6</w:t>
            </w:r>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10.1 and 10.8; Cybersecurity Risk Management Plan Sections 3.1 and 6.3</w:t>
            </w:r>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10.1, 10.2, 10.3, 10.4, 10.5 and 10.6</w:t>
            </w:r>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9.1, 10.2 and 11.4</w:t>
            </w:r>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two domain controllers,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6.12, 9.1 and 10.3</w:t>
            </w:r>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10.5; Cybersecurity Risk Management Plan Sections 6.2 and 6.3</w:t>
            </w:r>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9.4, 10.7, 10.8 and 12.1; Cybersecurity Risk Management Plan Section 3.2</w:t>
            </w:r>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9.2, 9.5 and 10.7</w:t>
            </w:r>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10.7; Cybersecurity Risk Management Plan Sections 7.1, 7.2, 7.4 and 9.4</w:t>
            </w:r>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6.2, 6.3 and 9.3; System Architecture Section 10.5;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on immutable storage at both sites,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9.3 and 12.3; Cybersecurity Risk Management Plan Sections 8.1 and 8.2</w:t>
            </w:r>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9.3 and 11.3;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the mandatory certification, maintained throughout the Contract, with the certificate copy attached. The card manufacturer's ISO 9001 certificate is attached, and technical change control is structured on ITIL 4 change enablement and ISO/IEC 20000-1 change management. [GAP: No document states whether Inkript holds ISO 9001 or ISO/IEC 20000-1 (Cybersecurity Risk Management Plan Section 11.2 is marked [Inkript to confirm]). Clarifications to Queries 005, answering a question that cited this clause, says all minimum specifications are strict, non-negotiable baselines, so the 'preferred' certifications may be evaluated as required. Responses to Queries 003 lets team members or partners hold certifications for their roles, so the card manufacturer's ISO 9001 certificate (register item 2.3) helps, but no ISO/IEC 20000-1 holder is identified. Attach Inkript's or a partner's certificates if held.]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11.1 and 11.3; Change Management Plan Section 1.2; Attachment: Inkript ISO/IEC 27001 certificate; Attachment: Card manufacturer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1.2 and 3.2; System Architecture Sections 10.5 and 10.8</w:t>
            </w:r>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Cybersecurity Risk Management Plan Section 11.3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10.4 and 13.1; Cybersecurity Risk Management Plan Section 11.3</w:t>
            </w:r>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10.2 and 10.8; Cybersecurity Risk Management Plan Section 11.1</w:t>
            </w:r>
          </w:p>
        </w:tc>
      </w:tr>
    </w:tbl>
    <w:p>
      <w:pPr>
        <w:spacing w:after="140"/>
      </w:pP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1.2, 6.4 and 7.1</w:t>
            </w:r>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 7.2 and 13.1; Preliminary Project Plan Section 2.5</w:t>
            </w:r>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7.3</w:t>
            </w:r>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7.4, 10.5 and 13.1</w:t>
            </w:r>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7.12</w:t>
            </w:r>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7.5 and 13.2</w:t>
            </w:r>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7.2 and 7.6</w:t>
            </w:r>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7.14 and 10.6</w:t>
            </w:r>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and 7.14</w:t>
            </w:r>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and 9.3; Cybersecurity Risk Management Plan Section 8.1</w:t>
            </w:r>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6.2, 6.4 and 7.7</w:t>
            </w:r>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7.8 and 10.2</w:t>
            </w:r>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4.5, 6.3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 [CONFIRM: The Laser personalization system datasheet lists vision inspection (OCR, OCV and 2D code validation of every card) as an optional module. Inkript to confirm it is in the configuration ordered, since System Architecture Section 3.6 commits to in-line verification of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6.8 and 7.9;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2.3 and 7.10</w:t>
            </w:r>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6.4 and 7.11</w:t>
            </w:r>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5.3, 5.7, 6.9 and 8.6</w:t>
            </w:r>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System Architecture Section 8.6 and System Architecture Section 13.2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8.1, 8.2, 8.3 and 8.6</w:t>
            </w:r>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7.15, 8.3 and 8.4</w:t>
            </w:r>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7.12</w:t>
            </w:r>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6.11 and 7.13</w:t>
            </w:r>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7.16 and 11.6; Preliminary Project Plan Section 4.4</w:t>
            </w:r>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 4.4; Cybersecurity Risk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7.16; Preliminary Project Plan Sections 4.1 and 4.4</w:t>
            </w:r>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7.17; Preliminary Project Plan Section 2.10</w:t>
            </w:r>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20"/>
        <w:gridCol w:w="4900"/>
        <w:gridCol w:w="2000"/>
      </w:tblGrid>
      <w:tr>
        <w:trPr>
          <w:tblHeader/>
        </w:trPr>
        <w:tc>
          <w:tcPr>
            <w:tcW w:type="dxa" w:w="212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0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20"/>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3.3</w:t>
            </w:r>
          </w:p>
        </w:tc>
      </w:tr>
      <w:tr>
        <w:tc>
          <w:tcPr>
            <w:tcW w:type="dxa" w:w="2120"/>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3.3 and 3.8</w:t>
            </w:r>
          </w:p>
        </w:tc>
      </w:tr>
      <w:tr>
        <w:tc>
          <w:tcPr>
            <w:tcW w:type="dxa" w:w="2120"/>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and 3.3</w:t>
            </w:r>
          </w:p>
        </w:tc>
      </w:tr>
      <w:tr>
        <w:tc>
          <w:tcPr>
            <w:tcW w:type="dxa" w:w="2120"/>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3.3 and 3.7</w:t>
            </w:r>
          </w:p>
        </w:tc>
      </w:tr>
      <w:tr>
        <w:tc>
          <w:tcPr>
            <w:tcW w:type="dxa" w:w="2120"/>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3.4</w:t>
            </w:r>
          </w:p>
        </w:tc>
      </w:tr>
      <w:tr>
        <w:tc>
          <w:tcPr>
            <w:tcW w:type="dxa" w:w="2120"/>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3.4</w:t>
            </w:r>
          </w:p>
        </w:tc>
      </w:tr>
      <w:tr>
        <w:tc>
          <w:tcPr>
            <w:tcW w:type="dxa" w:w="2120"/>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3.4 and 3.8</w:t>
            </w:r>
          </w:p>
        </w:tc>
      </w:tr>
      <w:tr>
        <w:tc>
          <w:tcPr>
            <w:tcW w:type="dxa" w:w="2120"/>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3.4</w:t>
            </w:r>
          </w:p>
        </w:tc>
      </w:tr>
      <w:tr>
        <w:tc>
          <w:tcPr>
            <w:tcW w:type="dxa" w:w="2120"/>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3.4 and 3.6</w:t>
            </w:r>
          </w:p>
        </w:tc>
      </w:tr>
      <w:tr>
        <w:tc>
          <w:tcPr>
            <w:tcW w:type="dxa" w:w="2120"/>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3.2 and 3.5</w:t>
            </w:r>
          </w:p>
        </w:tc>
      </w:tr>
      <w:tr>
        <w:tc>
          <w:tcPr>
            <w:tcW w:type="dxa" w:w="2120"/>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 [GAP: Preliminary Project Plan Section 3.5 names an executive briefing, workshops and facilitated sessions, but not strategy sessions or presentations. Add both to its Mode and duration paragraph.]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w:t>
            </w:r>
          </w:p>
        </w:tc>
      </w:tr>
      <w:tr>
        <w:tc>
          <w:tcPr>
            <w:tcW w:type="dxa" w:w="2120"/>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3.5; System Architecture Section 6.11</w:t>
            </w:r>
          </w:p>
        </w:tc>
      </w:tr>
      <w:tr>
        <w:tc>
          <w:tcPr>
            <w:tcW w:type="dxa" w:w="2120"/>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900"/>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3.5 and 3.6</w:t>
            </w:r>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Change Management Plan Section 6.2</w:t>
            </w:r>
          </w:p>
        </w:tc>
      </w:tr>
      <w:tr>
        <w:tc>
          <w:tcPr>
            <w:tcW w:type="dxa" w:w="200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3.7</w:t>
            </w:r>
          </w:p>
        </w:tc>
      </w:tr>
      <w:tr>
        <w:tc>
          <w:tcPr>
            <w:tcW w:type="dxa" w:w="200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 [GAP: The facility inspection checklist is not listed in Preliminary Project Plan Section 2.10. Add it to the Operational and maintenance checklists row, or confirm it is delivered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w:t>
            </w:r>
          </w:p>
        </w:tc>
      </w:tr>
      <w:tr>
        <w:tc>
          <w:tcPr>
            <w:tcW w:type="dxa" w:w="200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 8.2; System Architecture Sections 9.3 and 12.3</w:t>
            </w:r>
          </w:p>
        </w:tc>
      </w:tr>
      <w:tr>
        <w:tc>
          <w:tcPr>
            <w:tcW w:type="dxa" w:w="200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5.1 and 5.6; System Architecture Section 12.4</w:t>
            </w:r>
          </w:p>
        </w:tc>
      </w:tr>
      <w:tr>
        <w:tc>
          <w:tcPr>
            <w:tcW w:type="dxa" w:w="200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6.14</w:t>
            </w:r>
          </w:p>
        </w:tc>
      </w:tr>
      <w:tr>
        <w:tc>
          <w:tcPr>
            <w:tcW w:type="dxa" w:w="200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 [GAP: Physical layout drawings, facility floor plans and the power and cooling design are not named as deliverables in Preliminary Project Plan Section 2.10, including its facility works paragraph. Add them there. The Purchaser's ground floor plan, provided by the Buildings Department as stated in the Responses to Queries 003, is the base.]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2.10; System Architecture Sections 9.5 and 13.1</w:t>
            </w:r>
          </w:p>
        </w:tc>
      </w:tr>
      <w:tr>
        <w:tc>
          <w:tcPr>
            <w:tcW w:type="dxa" w:w="200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12.1</w:t>
            </w:r>
          </w:p>
        </w:tc>
      </w:tr>
      <w:tr>
        <w:tc>
          <w:tcPr>
            <w:tcW w:type="dxa" w:w="200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4.7; System Architecture Section 7.17</w:t>
            </w:r>
          </w:p>
        </w:tc>
      </w:tr>
      <w:tr>
        <w:tc>
          <w:tcPr>
            <w:tcW w:type="dxa" w:w="200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courier or postal interface. [GAP: Third-party integration procedures are not named in Preliminary Project Plan Section 2.10. Add them to the Integration documentation row, covering the courier or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7.2, 7.17 and 8.6</w:t>
            </w:r>
          </w:p>
        </w:tc>
      </w:tr>
      <w:tr>
        <w:tc>
          <w:tcPr>
            <w:tcW w:type="dxa" w:w="200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Cybersecurity Risk Management Plan Sections 6.3 and 9.1</w:t>
            </w:r>
          </w:p>
        </w:tc>
      </w:tr>
      <w:tr>
        <w:tc>
          <w:tcPr>
            <w:tcW w:type="dxa" w:w="200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11.4 and 12.3</w:t>
            </w:r>
          </w:p>
        </w:tc>
      </w:tr>
      <w:tr>
        <w:tc>
          <w:tcPr>
            <w:tcW w:type="dxa" w:w="200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4.1 and 4.7</w:t>
            </w:r>
          </w:p>
        </w:tc>
      </w:tr>
      <w:tr>
        <w:tc>
          <w:tcPr>
            <w:tcW w:type="dxa" w:w="200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Sections 12.2 and 12.5</w:t>
            </w:r>
          </w:p>
        </w:tc>
      </w:tr>
      <w:tr>
        <w:tc>
          <w:tcPr>
            <w:tcW w:type="dxa" w:w="200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Preliminary Project Plan Section 2.10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9.5</w:t>
            </w:r>
          </w:p>
        </w:tc>
      </w:tr>
      <w:tr>
        <w:tc>
          <w:tcPr>
            <w:tcW w:type="dxa" w:w="200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certificate, the card manufacturer's ISO certificates and the hardware security modules' FIPS 140 certificates are attached. [GAP: Regulatory approvals are not listed in Preliminary Project Plan Section 2.10. Add them to the Compliance and certification documentation row.]</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 System Architecture Section 13.1; Cybersecurity Risk Management Plan Section 11.3;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sits on the change board as Supplier technical lead. The nominee holds a Bachelor's degree in a listed field, at least five years in solution architecture, systems integration, interoperability and technical assurance, and TOGAF and solutions architecture certification. [CONFIRM: Cybersecurity Risk Management Plan Section 9.3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Change Management Plan Sections 3.1 and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Preliminary Project Plan Section 3.8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Cybersecurity Risk Management Plan Section 11.3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9.3 and 11.3;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Preliminary Project Plan Section 3.8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Change Management Plan Section 6.1;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System Architecture Section 12.4,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and change management from week 1 to week 32.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Change Management Plan Section 6.1; Preliminary Project Plan Section 3.8;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Cybersecurity Risk Management Plan Section 9.3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9.1 and 9.3;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Preliminary Project Plan Section 3.8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12.4; Attachment: Key Personnel CVs and certificates</w:t>
            </w:r>
          </w:p>
        </w:tc>
      </w:tr>
    </w:tbl>
    <w:p>
      <w:pPr>
        <w:spacing w:after="140"/>
      </w:pPr>
    </w:p>
    <w:p>
      <w:r>
        <w:br w:type="page"/>
      </w:r>
    </w:p>
    <w:p>
      <w:r>
        <w:br w:type="page"/>
      </w:r>
    </w:p>
    <w:p>
      <w:pPr>
        <w:pStyle w:val="Heading1"/>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6.13 and 9.4</w:t>
            </w:r>
          </w:p>
        </w:tc>
      </w:tr>
      <w:tr>
        <w:tc>
          <w:tcPr>
            <w:tcW w:type="dxa" w:w="1450"/>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 [CONFIRM: The MS1000 mailing system datasheet states no electrical input range, and no datasheet confirms British Standard plugs. Obtain manufacturer confirmation for the mailing systems and the ICT equipment.]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 [CONFIRM: No datasheet states a dust tolerance, and the MS1000 mailing system datasheet gives no operating environment. Obtain manufacturer confirmation.]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Attachment: Laser personalization system datasheet</w:t>
            </w:r>
          </w:p>
        </w:tc>
      </w:tr>
      <w:tr>
        <w:tc>
          <w:tcPr>
            <w:tcW w:type="dxa" w:w="1450"/>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 [CONFIRM: No datasheet states a noise level. Obtain the manufacturers' declared noise levels for the personalization and mailing systems.]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Preliminary Project Plan Section 4.3</w:t>
            </w:r>
          </w:p>
        </w:tc>
      </w:tr>
      <w:tr>
        <w:tc>
          <w:tcPr>
            <w:tcW w:type="dxa" w:w="1450"/>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 [CONFIRM: The laser datasheet lists FCC without the class, and the mailing datasheet lists no certification. Section IV of the RFP requires certificate copies in the proposal: obtain FCC Class B or EN 55022 certificates for the laser, mailing and ICT equipment. The RFP's 'END' is read as EN.]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9.4;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and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 [CONFIRM: System Architecture Section 3.5 does not yet state that throughput is measured on accepted finished cards, as the Responses to Queries 003 require. Confirm with the manufacturer the rated duplex output with the full personalization content, allowing for the 1 percent reject rate.]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3.5 and 11.1;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 [CONFIRM: The laser datasheet lists CLI/MLI and micro text as optional features and does not mention tactile laser printing. Confirm these options are in the configuration ordered and obtain manufacturer evidence for tactile marking, since this criterion is scored on documentary evidence. The meaning of 'both alphanumeric values' and the QR specification are still to come from the Purchaser.]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6.7; Preliminary Project Plan Section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6.13; Preliminary Project Plan Section 2.3</w:t>
            </w:r>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 [CONFIRM: Vision inspection is listed as an optional module on the S8000 laser datasheet. Confirm it is included on both machines in the configuration ordered.]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3.6 and 6.8;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3.6;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3.7 and 6.8; Preliminary Project Plan Section 4.3</w:t>
            </w:r>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3.9 and 6.6</w:t>
            </w:r>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 [CONFIRM: The S8000 laser datasheet lists a single emergency stop button. Confirm with the manufacturer that emergency stop buttons are positioned around the assembled modular line, reachable from each operator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Sections 3.8 and 4.3;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3.2;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6.3 and 13.1; Preliminary Project Plan Section 2.4</w:t>
            </w:r>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6.3</w:t>
            </w:r>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 [CONFIRM: The laser datasheet states no marking resolution. Obtain the manufacturer's figure, ideally a measured sample, since this criterion is scored on the quality of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and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 [CONFIRM: The laser datasheet confirms micro text but gives no resolution or line size. Obtain the manufacturer's figure or a measured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3.3;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3.1 and 3.9;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 Preliminary Project Plan Section 5.4;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3.1</w:t>
            </w:r>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3.8 and 6.7;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3.8;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 [CONFIRM: Scored on documentary evidence (Document Register item 1.13). The laser datasheet does not show that each LX module marks a whole card alone. Obtain manufacturer evidence.]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3.4;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 [CONFIRM: Confirm with the manufacturer the hourly rate of one machine with a station out of service, since the clause requires that the production flow is not degraded.]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3.4 and 3.8; Preliminary Project Plan Section 4.3</w:t>
            </w:r>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 [GAP: The datasheet on file gives no weight and only per-module dimensions, not the assembled line. The System Architecture subsection 'Technical data and installation requirements' is listed in its contents but not yet drafted. Obtain weight and overall dimensions for the configuration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System Architecture Sections 3.1 and 3.9</w:t>
            </w:r>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 [GAP: Wavelength, operational lifespan and maintenance intervals are not in any document on file. Obtain the Laser Engraving Unit Details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Preliminary Project Plan Section 5.4</w:t>
            </w:r>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 [GAP: Air pressure, flow rate and compressor figures are not on file, and the datasheet does not say whether 2,500 W is per module or per machine. Obtain the dedicated document from the manufacturer; the Document Register marks it mandatory.]</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System Architecture Section 3.1</w:t>
            </w:r>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and 5.2; Preliminary Project Plan Section 4.3;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5.3; Preliminary Project Plan Section 4.5;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 [CONFIRM: The card data reading station is an optional module on the MS1000 datasheet, which does not state 1D, 2D and QR capability. Confirm it is configured on both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5.4;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5.1, 5.2 and 6.9;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5.1</w:t>
            </w:r>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5.4 and 5.5;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 [CONFIRM: Buffer modules do not appear on the MS1000 datasheet. Confirm with the manufacturer that they are available and included in the configuration.]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5.5 and 11.1; Preliminary Project Plan Section 4.3</w:t>
            </w:r>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5.7, 7.1, 7.2 and 8.4</w:t>
            </w:r>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6.9, 8.6 and 13.2</w:t>
            </w:r>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 [CONFIRM: The MS1000 datasheet rates each line at up to 1,000 cards per hour, exactly the per-machine minimum, leaving no margin for rejects or stoppages. Confirm the sustained rate with the manufacturer.]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5.6 and 11.1; Preliminary Project Plan Sections 4.3 and 4.6;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System Architecture Section 8.6 and System Architecture Section 13.2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8.2, 8.6 and 13.2</w:t>
            </w:r>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 [CONFIRM: Depends on the card manufacturer's construction confirmation and laboratory test reports, which must be obtained.]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1.1, 4.1 and 4.6;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 [CONFIRM: The card manufacturer must confirm every front feature, including the crystal pattern security background, which System Architecture Section 4.2 does not list separately from the photonic crystal elements. The Responses to Queries 04 make OVMI and thermochromic ink mandatory, with no alternatives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4.2;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 [CONFIRM: System Architecture Section 4.3 omits photonic crystal on the back and relies on the Responses to Queries 04. The clause itself lists it, so consider adding it if the card manufacturer offers dual-sided photonic crystal.]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4.2 and 4.3;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 [CONFIRM: Depends on the same manufacturer evidence as clause 3.1.3 and clause 3.2.2.1.1: the laser datasheet states no marking resolution and does not mention tactile laser printing.]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3.2, 4.4 and 4.5</w:t>
            </w:r>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 [CONFIRM: Images and physical samples must be obtained from the card manufacturer. The final Malawi design is agreed after award under the Clarifications to Queries 005, so the bid images show a representative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4.7; Preliminary Project Plan Section 4.5;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 [CONFIRM: Reports must be obtained from the card manufacturer and checked to cover all fourteen tests within three years. The Responses to Queries 04 accept redacted reports and require a laboratory holding government mandates for national ID.]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4.1 and 4.6;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 System Architecture Sections 9.5 and 13.1;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2.4, 2.9 and 4.5</w:t>
            </w:r>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2.3 and 2.4; System Architecture Section 13.1</w:t>
            </w:r>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 and 2.10;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System Architecture Section 9.5 names the blank card store, personalization, data processing and destruction areas, and System Architecture Section 10.7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6.10, 9.5 and 10.7;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 Cybersecurity Risk Management Plan Sections 5.2 and 10</w:t>
            </w:r>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13.1; Preliminary Project Plan Section 2.7</w:t>
            </w:r>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9.5 and 12.2</w:t>
            </w:r>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9.4 and 9.5; Preliminary Project Plan Section 4.5</w:t>
            </w:r>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internationally recognized structured cabling standards, and the cabling records are delivered with the facility documentation. Connectivity, throughput and redundancy are verified in the network infrastructure pre-commissioning test. [GAP: No cabling standard is named. Name the standards in the facility works plan, for example ISO/IEC 11801 or ANSI/TIA-568.]</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4.5</w:t>
            </w:r>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System Architecture Section 9.5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9.5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10.6 and 10.7; Cybersecurity Risk Management Plan Section 10</w:t>
            </w:r>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9.5</w:t>
            </w:r>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2.10</w:t>
            </w:r>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2.4 and 4.5; System Architecture Sections 6.10 and 9.4</w:t>
            </w:r>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System Architecture Section 10.8</w:t>
            </w:r>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4.5 and 4.6</w:t>
            </w:r>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2.10 and 5.4</w:t>
            </w:r>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3.2 and 3.8</w:t>
            </w:r>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w:t>
            </w:r>
          </w:p>
        </w:tc>
      </w:tr>
    </w:tbl>
    <w:p>
      <w:pPr>
        <w:spacing w:after="140"/>
      </w:pP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29"/>
        <w:gridCol w:w="2001"/>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2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 [CONFIRM: The equipment manufacturer's written FAT hosting confirmation (Document Register item 1.9) must be obtained and attached; it is mandatory for clause 4.1.1.]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3.4 and 4.3;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29"/>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 [GAP: The documents describe delivery inspection in one line only. The method itself is not described: checking against the packing list and purchase order, checking damage and shock indicators, capturing serial numbers at receipt, handling discrepancies and shortages, and NRB sign-off. Suggest adding a short delivery inspection procedure to Preliminary Project Plan Section 4.1.]</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2.5, 2.10 and 4.1</w:t>
            </w:r>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1"/>
        <w:gridCol w:w="1999"/>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2.5, 4.5 and 4.7</w:t>
            </w:r>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2.10, 4.1, 4.5 and 4.7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2.5, 2.10 and 4.5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Preliminary Project Plan Section 4.5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Preliminary Project Plan Section 4.5, or cross-reference the facility works test plan.]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2.10 and 4.5; System Architecture Sections 9.5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Preliminary Project Plan Section 4.5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System Architecture Section 9.5 and the test to Preliminary Project Plan Section 4.5.]</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9.5, 10.7 and 12.2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2.7 and 4.5; System Architecture Section 9.2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System Architecture Section 10.3 describes the System's own directory on two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6.12, 10.3 and 10.7</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Preliminary Project Plan Section 4.5 lists only alignment, greyscale consistency and QR encoding. Confirm the symbology of the machine-readable card identifier, and add its encoding and print quality to test 6 in Preliminary Project Plan Section 4.5.]</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3.2, 3.6 and 4.4;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5.2, 5.3 and 5.5;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6.14 and 12.1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7.12, 7.16 and 10.5</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7.3 and 7.12</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4.2 and 4.4</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3.6 and 6.8;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4.4 and 4.5; System Architecture Sections 9.3 and 12.3</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4.2 and 4.5; System Architecture Sections 2.2 and 7.11</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2.6 and 4.5; System Architecture Section 6.10</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1"/>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 [CONFIRM: The equipment manufacturer must confirm in writing 1,000 accepted cards per hour per line with the full personalization content (risk R3 in Preliminary Project Plan Section 2.9). The proposal does not yet state that throughput is measured on accepted finished cards, as the Responses to Queries 003 require: add it to Preliminary Project Plan Section 4.6 and System Architecture Section 3.5. The MS1000 datasheet rates the mailing line at up to 1,000 cards per hour, so the mailing rate is at the datasheet maximum.]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4.5; System Architecture Sections 3.5, 11.1 and 11.6</w:t>
            </w:r>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2.8, 4.6 and 4.7</w:t>
            </w:r>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Preliminary Project Plan Section 2.6 and Preliminary Project Plan Section 4.6 plan operational acceptance on real NRIS records. Confirm with NRB which data the OAT uses. (2) Clause 4.3.1 ties warranty commencement to OAT completion, but Preliminary Project Plan Section 5.1 starts the warranty at Final Acceptance (SCC GCC 29.4); align the wording.]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2.6, 2.10, 4.6, 4.7 and 5.1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7.11 and 7.14</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System Architecture Section 9.3,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3.4 and 9.3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 [CONFIRM: Depends on the equipment manufacturer confirming 1,000 accepted cards per hour per line with the full personalization content (risk R3 in Preliminary Project Plan Section 2.9). The throughput basis in Preliminary Project Plan Section 4.6 says cards per hour, not accepted finished cards; align it with the Responses to Queries 003.]</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5.6 and 11.1</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3.5, 11.2 and 11.6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4.5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7.10, 7.11 and 7.12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3.6, 4.4 and 6.8</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5.4 and 5.7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7.14 and 10.6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4.4 and 4.6; System Architecture Sections 10.3 and 10.7</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12.3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12.2</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3.8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 6.10</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4.6; System Architecture Sections 6.11 and 7.13</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3.1, 3.7 and 4.6</w:t>
            </w:r>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2.2, 2.7, 4.6 and 4.7</w:t>
            </w:r>
          </w:p>
        </w:tc>
      </w:tr>
    </w:tbl>
    <w:p>
      <w:pPr>
        <w:spacing w:after="140"/>
      </w:pPr>
    </w:p>
    <w:p>
      <w:r>
        <w:br w:type="page"/>
      </w:r>
    </w:p>
    <w:p>
      <w:r>
        <w:br w:type="page"/>
      </w:r>
    </w:p>
    <w:p>
      <w:pPr>
        <w:pStyle w:val="Heading1"/>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5570"/>
        <w:gridCol w:w="200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450"/>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7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 [CONFIRM: The S8000 and MS1000 datasheets state a one-year standard manufacturer warranty (S8000 extendable by one year). Inkript must confirm back-to-back three-year manufacturer coverage through the support agreement and the Manufacturer's Authorization. Warranty start also needs aligning: Final Acceptance in the proposal and SCC GCC 29.4, Operational Acceptance in clause 4.3.1.]</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5.1 and 5.4; System Architecture Section 12.4;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5.2; System Architecture Section 12.4</w:t>
            </w:r>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 [CONFIRM: Preliminary Project Plan Section 5.2 says the manufacturer's Level 3 support agreement covers the warranty period only; confirm it extends to post-warranty maintenance. The MTBF target depends on the manufacturer's specified MTBF figures, which are not in the datasheets and must be obtained.]</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Sections 5.2 and 5.3</w:t>
            </w:r>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5.1 and 5.6; System Architecture Section 12.4</w:t>
            </w:r>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69"/>
        <w:gridCol w:w="2001"/>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6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12.4; Preliminary Project Plan Section 5.2; Change Management Plan Section 5.3</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arrays and database. [CONFIRM: Preliminary Project Plan Section 3.8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 12.4; Cybersecurity Risk Management Plan Section 9.3;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3.8; System Architecture Sections 4.2, 4.4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System Architecture Section 12.4. No qualifications, experience, scope or candidate appear anywhere, and the role is missing from the table in Preliminary Project Plan Section 3.8. Add the role with its degree, seven years in critical infrastructure, and UPS, HVAC, generator, fire suppression and secure facility experience, and provide the CV (the same role is key personnel under clause 2.4.1.10).]</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Sections 9.5 and 12.4;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Cybersecurity Risk Management Plan Section 9.3 engages the Network Engineer for design and weeks 15 to 23 only; align it with the post-Operational Acceptance technical team in System Architecture Section 12.4.]</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 3.8; Cybersecurity Risk Management Plan Section 9.3; System Architecture Section 9.2;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69"/>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1"/>
            <w:tcMar>
              <w:top w:type="dxa" w:w="60"/>
              <w:left w:type="dxa" w:w="100"/>
              <w:bottom w:type="dxa" w:w="60"/>
              <w:right w:type="dxa" w:w="100"/>
            </w:tcMar>
          </w:tcPr>
          <w:p>
            <w:pPr>
              <w:spacing w:after="0" w:before="0"/>
            </w:pPr>
            <w:r>
              <w:rPr>
                <w:b w:val="false"/>
                <w:bCs w:val="false"/>
                <w:i w:val="false"/>
                <w:iCs w:val="false"/>
              </w:rPr>
              <w:t xml:space="preserve">Cybersecurity Risk Management Plan Section 9.3; Preliminary Project Plan Section 3.8; System Architecture Section 12.4;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2026-10-06T15:52:07.666Z</dcterms:created>
  <dcterms:modified xsi:type="dcterms:W3CDTF">2026-10-06T15:52:07.666Z</dcterms:modified>
</cp:coreProperties>
</file>

<file path=docProps/custom.xml><?xml version="1.0" encoding="utf-8"?>
<Properties xmlns="http://schemas.openxmlformats.org/officeDocument/2006/custom-properties" xmlns:vt="http://schemas.openxmlformats.org/officeDocument/2006/docPropsVTypes"/>
</file>