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1"/>
        <w:gridCol w:w="16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1"/>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69"/>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1"/>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69"/>
            <w:tcMar>
              <w:top w:type="dxa" w:w="60"/>
              <w:left w:type="dxa" w:w="100"/>
              <w:bottom w:type="dxa" w:w="60"/>
              <w:right w:type="dxa" w:w="100"/>
            </w:tcMar>
          </w:tcPr>
          <w:p>
            <w:pPr>
              <w:spacing w:after="0" w:before="0"/>
            </w:pPr>
            <w:r>
              <w:rPr>
                <w:b w:val="false"/>
                <w:bCs w:val="false"/>
                <w:i w:val="false"/>
                <w:iCs w:val="false"/>
              </w:rPr>
              <w:t xml:space="preserve">Equipment manufacturer, under 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1"/>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1"/>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1"/>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69"/>
            <w:tcMar>
              <w:top w:type="dxa" w:w="60"/>
              <w:left w:type="dxa" w:w="100"/>
              <w:bottom w:type="dxa" w:w="60"/>
              <w:right w:type="dxa" w:w="100"/>
            </w:tcMar>
          </w:tcPr>
          <w:p>
            <w:pPr>
              <w:spacing w:after="0" w:before="0"/>
            </w:pPr>
            <w:r>
              <w:rPr>
                <w:b w:val="false"/>
                <w:bCs w:val="false"/>
                <w:i w:val="false"/>
                <w:iCs w:val="false"/>
              </w:rPr>
              <w:t xml:space="preserve">Card manufacturer, under Inkript</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Live production begins with operational acceptance in week 27, on real NRIS records, and volume rises through the sustained production stability test to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Inkript</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6"/>
        <w:gridCol w:w="1340"/>
        <w:gridCol w:w="900"/>
        <w:gridCol w:w="2633"/>
        <w:gridCol w:w="1561"/>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3"/>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6"/>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6"/>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6"/>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6"/>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6"/>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6"/>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6"/>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61"/>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6"/>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6"/>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6"/>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6"/>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6"/>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61"/>
        <w:gridCol w:w="3135"/>
        <w:gridCol w:w="1325"/>
        <w:gridCol w:w="581"/>
        <w:gridCol w:w="1493"/>
        <w:gridCol w:w="1425"/>
      </w:tblGrid>
      <w:tr>
        <w:trPr>
          <w:tblHeader/>
        </w:trPr>
        <w:tc>
          <w:tcPr>
            <w:tcW w:type="dxa" w:w="106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35"/>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325"/>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81"/>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93"/>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25"/>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325"/>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325"/>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17</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25"/>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35"/>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25"/>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25"/>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93"/>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operates in live production, and NRB operates it</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live</w:t>
            </w:r>
          </w:p>
        </w:tc>
        <w:tc>
          <w:tcPr>
            <w:tcW w:type="dxa" w:w="581"/>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93"/>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25"/>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769"/>
        <w:gridCol w:w="3335"/>
        <w:gridCol w:w="1466"/>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335"/>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769"/>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335"/>
            <w:tcMar>
              <w:top w:type="dxa" w:w="60"/>
              <w:left w:type="dxa" w:w="100"/>
              <w:bottom w:type="dxa" w:w="60"/>
              <w:right w:type="dxa" w:w="100"/>
            </w:tcMar>
          </w:tcPr>
          <w:p>
            <w:pPr>
              <w:spacing w:after="0" w:before="0"/>
            </w:pPr>
            <w:r>
              <w:rPr>
                <w:b w:val="false"/>
                <w:bCs w:val="false"/>
                <w:i w:val="false"/>
                <w:iCs w:val="false"/>
              </w:rPr>
              <w:t xml:space="preserve">Pre-commissioning, against the NRIS test environment, then operational acceptance in live operation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28"/>
        <w:gridCol w:w="680"/>
        <w:gridCol w:w="1562"/>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28"/>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2"/>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28"/>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2"/>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28"/>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2"/>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28"/>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2"/>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28"/>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2"/>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28"/>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2"/>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28"/>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and QR encoding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2"/>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28"/>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2"/>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28"/>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2"/>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28"/>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2"/>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28"/>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2"/>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28"/>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2"/>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28"/>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2"/>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28"/>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2"/>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28"/>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2"/>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28"/>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2"/>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28"/>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2"/>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live production environment, once the Installation Certificate has been issued.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2026-10-07T12:43:56.443Z</dcterms:created>
  <dcterms:modified xsi:type="dcterms:W3CDTF">2026-10-07T12:43:56.443Z</dcterms:modified>
</cp:coreProperties>
</file>

<file path=docProps/custom.xml><?xml version="1.0" encoding="utf-8"?>
<Properties xmlns="http://schemas.openxmlformats.org/officeDocument/2006/custom-properties" xmlns:vt="http://schemas.openxmlformats.org/officeDocument/2006/docPropsVTypes"/>
</file>