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sec_1_1">
            <w:r>
              <w:rPr>
                <w:rStyle w:val="IndexLink"/>
              </w:rPr>
              <w:t xml:space="default">1.1 Legal and regulatory requirements</w:t>
              <w:tab/>
              <w:t xml:space="default">2</w:t>
            </w:r>
          </w:hyperlink>
        </w:p>
        <w:p>
          <w:pPr>
            <w:pStyle w:val="TOC2"/>
            <w:tabs>
              <w:tab w:val="clear" w:pos="8786"/>
              <w:tab w:val="right" w:pos="9025" w:leader="dot"/>
            </w:tabs>
          </w:pPr>
          <w:hyperlink w:history="1" w:anchor="sec_1_2">
            <w:r>
              <w:rPr>
                <w:rStyle w:val="IndexLink"/>
              </w:rPr>
              <w:t xml:space="default">1.2 Business function requirements</w:t>
              <w:tab/>
              <w:t xml:space="default">3</w:t>
            </w:r>
          </w:hyperlink>
        </w:p>
        <w:p>
          <w:pPr>
            <w:pStyle w:val="TOC2"/>
            <w:tabs>
              <w:tab w:val="clear" w:pos="8786"/>
              <w:tab w:val="right" w:pos="9025" w:leader="dot"/>
            </w:tabs>
          </w:pPr>
          <w:hyperlink w:history="1" w:anchor="sec_1_3">
            <w:r>
              <w:rPr>
                <w:rStyle w:val="IndexLink"/>
              </w:rPr>
              <w:t xml:space="default">1.3 Architectural requirements</w:t>
              <w:tab/>
              <w:t xml:space="default">4</w:t>
            </w:r>
          </w:hyperlink>
        </w:p>
        <w:p>
          <w:pPr>
            <w:pStyle w:val="TOC2"/>
            <w:tabs>
              <w:tab w:val="clear" w:pos="8786"/>
              <w:tab w:val="right" w:pos="9025" w:leader="dot"/>
            </w:tabs>
          </w:pPr>
          <w:hyperlink w:history="1" w:anchor="sec_1_4">
            <w:r>
              <w:rPr>
                <w:rStyle w:val="IndexLink"/>
              </w:rPr>
              <w:t xml:space="default">1.4 Systems administration and management functions</w:t>
              <w:tab/>
              <w:t xml:space="default">9</w:t>
            </w:r>
          </w:hyperlink>
        </w:p>
        <w:p>
          <w:pPr>
            <w:pStyle w:val="TOC2"/>
            <w:tabs>
              <w:tab w:val="clear" w:pos="8786"/>
              <w:tab w:val="right" w:pos="9025" w:leader="dot"/>
            </w:tabs>
          </w:pPr>
          <w:hyperlink w:history="1" w:anchor="sec_1_5">
            <w:r>
              <w:rPr>
                <w:rStyle w:val="IndexLink"/>
              </w:rPr>
              <w:t xml:space="default">1.5 Performance requirements</w:t>
              <w:tab/>
              <w:t xml:space="default">10</w:t>
            </w:r>
          </w:hyperlink>
        </w:p>
        <w:p>
          <w:pPr>
            <w:pStyle w:val="TOC2"/>
            <w:tabs>
              <w:tab w:val="clear" w:pos="8786"/>
              <w:tab w:val="right" w:pos="9025" w:leader="dot"/>
            </w:tabs>
          </w:pPr>
          <w:hyperlink w:history="1" w:anchor="sec_1_6">
            <w:r>
              <w:rPr>
                <w:rStyle w:val="IndexLink"/>
              </w:rPr>
              <w:t xml:space="default">1.6 Cyber security</w:t>
              <w:tab/>
              <w:t xml:space="default">13</w:t>
            </w:r>
          </w:hyperlink>
        </w:p>
        <w:p>
          <w:pPr>
            <w:pStyle w:val="TOC1"/>
            <w:tabs>
              <w:tab w:val="clear" w:pos="9026"/>
              <w:tab w:val="right" w:pos="9025" w:leader="dot"/>
            </w:tabs>
          </w:pPr>
          <w:hyperlink w:history="1" w:anchor="sec_2">
            <w:r>
              <w:rPr>
                <w:rStyle w:val="IndexLink"/>
              </w:rPr>
              <w:t xml:space="default">2. Service Specifications, Supply and Install Items</w:t>
              <w:tab/>
              <w:t xml:space="default">17</w:t>
            </w:r>
          </w:hyperlink>
        </w:p>
        <w:p>
          <w:pPr>
            <w:pStyle w:val="TOC2"/>
            <w:tabs>
              <w:tab w:val="clear" w:pos="8786"/>
              <w:tab w:val="right" w:pos="9025" w:leader="dot"/>
            </w:tabs>
          </w:pPr>
          <w:hyperlink w:history="1" w:anchor="sec_2_1">
            <w:r>
              <w:rPr>
                <w:rStyle w:val="IndexLink"/>
              </w:rPr>
              <w:t xml:space="default">2.1 System integration</w:t>
              <w:tab/>
              <w:t xml:space="default">17</w:t>
            </w:r>
          </w:hyperlink>
        </w:p>
        <w:p>
          <w:pPr>
            <w:pStyle w:val="TOC2"/>
            <w:tabs>
              <w:tab w:val="clear" w:pos="8786"/>
              <w:tab w:val="right" w:pos="9025" w:leader="dot"/>
            </w:tabs>
          </w:pPr>
          <w:hyperlink w:history="1" w:anchor="sec_2_2">
            <w:r>
              <w:rPr>
                <w:rStyle w:val="IndexLink"/>
              </w:rPr>
              <w:t xml:space="default">2.2 Training and training materials</w:t>
              <w:tab/>
              <w:t xml:space="default">21</w:t>
            </w:r>
          </w:hyperlink>
        </w:p>
        <w:p>
          <w:pPr>
            <w:pStyle w:val="TOC2"/>
            <w:tabs>
              <w:tab w:val="clear" w:pos="8786"/>
              <w:tab w:val="right" w:pos="9025" w:leader="dot"/>
            </w:tabs>
          </w:pPr>
          <w:hyperlink w:history="1" w:anchor="sec_2_3">
            <w:r>
              <w:rPr>
                <w:rStyle w:val="IndexLink"/>
              </w:rPr>
              <w:t xml:space="default">2.3 Documentation requirements</w:t>
              <w:tab/>
              <w:t xml:space="default">23</w:t>
            </w:r>
          </w:hyperlink>
        </w:p>
        <w:p>
          <w:pPr>
            <w:pStyle w:val="TOC2"/>
            <w:tabs>
              <w:tab w:val="clear" w:pos="8786"/>
              <w:tab w:val="right" w:pos="9025" w:leader="dot"/>
            </w:tabs>
          </w:pPr>
          <w:hyperlink w:history="1" w:anchor="sec_2_4">
            <w:r>
              <w:rPr>
                <w:rStyle w:val="IndexLink"/>
              </w:rPr>
              <w:t xml:space="default">2.4 Requirements of the Supplier's technical team</w:t>
              <w:tab/>
              <w:t xml:space="default">26</w:t>
            </w:r>
          </w:hyperlink>
        </w:p>
        <w:p>
          <w:pPr>
            <w:pStyle w:val="TOC1"/>
            <w:tabs>
              <w:tab w:val="clear" w:pos="9026"/>
              <w:tab w:val="right" w:pos="9025" w:leader="dot"/>
            </w:tabs>
          </w:pPr>
          <w:hyperlink w:history="1" w:anchor="sec_3">
            <w:r>
              <w:rPr>
                <w:rStyle w:val="IndexLink"/>
              </w:rPr>
              <w:t xml:space="default">3. Technology Specifications, Supply and Install Items</w:t>
              <w:tab/>
              <w:t xml:space="default">30</w:t>
            </w:r>
          </w:hyperlink>
        </w:p>
        <w:p>
          <w:pPr>
            <w:pStyle w:val="TOC2"/>
            <w:tabs>
              <w:tab w:val="clear" w:pos="8786"/>
              <w:tab w:val="right" w:pos="9025" w:leader="dot"/>
            </w:tabs>
          </w:pPr>
          <w:hyperlink w:history="1" w:anchor="sec_3_1">
            <w:r>
              <w:rPr>
                <w:rStyle w:val="IndexLink"/>
              </w:rPr>
              <w:t xml:space="default">3.1 Automatic modular laser personalization systems</w:t>
              <w:tab/>
              <w:t xml:space="default">30</w:t>
            </w:r>
          </w:hyperlink>
        </w:p>
        <w:p>
          <w:pPr>
            <w:pStyle w:val="TOC2"/>
            <w:tabs>
              <w:tab w:val="clear" w:pos="8786"/>
              <w:tab w:val="right" w:pos="9025" w:leader="dot"/>
            </w:tabs>
          </w:pPr>
          <w:hyperlink w:history="1" w:anchor="sec_3_2">
            <w:r>
              <w:rPr>
                <w:rStyle w:val="IndexLink"/>
              </w:rPr>
              <w:t xml:space="default">3.2 Personalization laser features</w:t>
              <w:tab/>
              <w:t xml:space="default">32</w:t>
            </w:r>
          </w:hyperlink>
        </w:p>
        <w:p>
          <w:pPr>
            <w:pStyle w:val="TOC2"/>
            <w:tabs>
              <w:tab w:val="clear" w:pos="8786"/>
              <w:tab w:val="right" w:pos="9025" w:leader="dot"/>
            </w:tabs>
          </w:pPr>
          <w:hyperlink w:history="1" w:anchor="sec_3_3">
            <w:r>
              <w:rPr>
                <w:rStyle w:val="IndexLink"/>
              </w:rPr>
              <w:t xml:space="default">3.3 Automated mailing and dispatch systems</w:t>
              <w:tab/>
              <w:t xml:space="default">34</w:t>
            </w:r>
          </w:hyperlink>
        </w:p>
        <w:p>
          <w:pPr>
            <w:pStyle w:val="TOC2"/>
            <w:tabs>
              <w:tab w:val="clear" w:pos="8786"/>
              <w:tab w:val="right" w:pos="9025" w:leader="dot"/>
            </w:tabs>
          </w:pPr>
          <w:hyperlink w:history="1" w:anchor="sec_3_4">
            <w:r>
              <w:rPr>
                <w:rStyle w:val="IndexLink"/>
              </w:rPr>
              <w:t xml:space="default">3.4 Polycarbonate cards</w:t>
              <w:tab/>
              <w:t xml:space="default">36</w:t>
            </w:r>
          </w:hyperlink>
        </w:p>
        <w:p>
          <w:pPr>
            <w:pStyle w:val="TOC2"/>
            <w:tabs>
              <w:tab w:val="clear" w:pos="8786"/>
              <w:tab w:val="right" w:pos="9025" w:leader="dot"/>
            </w:tabs>
          </w:pPr>
          <w:hyperlink w:history="1" w:anchor="sec_3_5">
            <w:r>
              <w:rPr>
                <w:rStyle w:val="IndexLink"/>
              </w:rPr>
              <w:t xml:space="default">3.5 Renovation of premises</w:t>
              <w:tab/>
              <w:t xml:space="default">37</w:t>
            </w:r>
          </w:hyperlink>
        </w:p>
        <w:p>
          <w:pPr>
            <w:pStyle w:val="TOC1"/>
            <w:tabs>
              <w:tab w:val="clear" w:pos="9026"/>
              <w:tab w:val="right" w:pos="9025" w:leader="dot"/>
            </w:tabs>
          </w:pPr>
          <w:hyperlink w:history="1" w:anchor="sec_4">
            <w:r>
              <w:rPr>
                <w:rStyle w:val="IndexLink"/>
              </w:rPr>
              <w:t xml:space="default">4. Testing and Quality Assurance Requirements</w:t>
              <w:tab/>
              <w:t xml:space="default">41</w:t>
            </w:r>
          </w:hyperlink>
        </w:p>
        <w:p>
          <w:pPr>
            <w:pStyle w:val="TOC2"/>
            <w:tabs>
              <w:tab w:val="clear" w:pos="8786"/>
              <w:tab w:val="right" w:pos="9025" w:leader="dot"/>
            </w:tabs>
          </w:pPr>
          <w:hyperlink w:history="1" w:anchor="sec_4_1">
            <w:r>
              <w:rPr>
                <w:rStyle w:val="IndexLink"/>
              </w:rPr>
              <w:t xml:space="default">4.1 Inspections</w:t>
              <w:tab/>
              <w:t xml:space="default">41</w:t>
            </w:r>
          </w:hyperlink>
        </w:p>
        <w:p>
          <w:pPr>
            <w:pStyle w:val="TOC2"/>
            <w:tabs>
              <w:tab w:val="clear" w:pos="8786"/>
              <w:tab w:val="right" w:pos="9025" w:leader="dot"/>
            </w:tabs>
          </w:pPr>
          <w:hyperlink w:history="1" w:anchor="sec_4_2">
            <w:r>
              <w:rPr>
                <w:rStyle w:val="IndexLink"/>
              </w:rPr>
              <w:t xml:space="default">4.2 Pre-commissioning tests</w:t>
              <w:tab/>
              <w:t xml:space="default">41</w:t>
            </w:r>
          </w:hyperlink>
        </w:p>
        <w:p>
          <w:pPr>
            <w:pStyle w:val="TOC2"/>
            <w:tabs>
              <w:tab w:val="clear" w:pos="8786"/>
              <w:tab w:val="right" w:pos="9025" w:leader="dot"/>
            </w:tabs>
          </w:pPr>
          <w:hyperlink w:history="1" w:anchor="sec_4_3">
            <w:r>
              <w:rPr>
                <w:rStyle w:val="IndexLink"/>
              </w:rPr>
              <w:t xml:space="default">4.3 Operational acceptance tests</w:t>
              <w:tab/>
              <w:t xml:space="default">44</w:t>
            </w:r>
          </w:hyperlink>
        </w:p>
        <w:p>
          <w:pPr>
            <w:pStyle w:val="TOC1"/>
            <w:tabs>
              <w:tab w:val="clear" w:pos="9026"/>
              <w:tab w:val="right" w:pos="9025" w:leader="dot"/>
            </w:tabs>
          </w:pPr>
          <w:hyperlink w:history="1" w:anchor="sec_5">
            <w:r>
              <w:rPr>
                <w:rStyle w:val="IndexLink"/>
              </w:rPr>
              <w:t xml:space="default">5. Service Specifications, Recurrent Cost Items</w:t>
              <w:tab/>
              <w:t xml:space="default">48</w:t>
            </w:r>
          </w:hyperlink>
        </w:p>
        <w:p>
          <w:pPr>
            <w:pStyle w:val="TOC2"/>
            <w:tabs>
              <w:tab w:val="clear" w:pos="8786"/>
              <w:tab w:val="right" w:pos="9025" w:leader="dot"/>
            </w:tabs>
          </w:pPr>
          <w:hyperlink w:history="1" w:anchor="sec_5_1">
            <w:r>
              <w:rPr>
                <w:rStyle w:val="IndexLink"/>
              </w:rPr>
              <w:t xml:space="default">5.1 Warranty defect repair</w:t>
              <w:tab/>
              <w:t xml:space="default">48</w:t>
            </w:r>
          </w:hyperlink>
        </w:p>
        <w:p>
          <w:pPr>
            <w:pStyle w:val="TOC2"/>
            <w:tabs>
              <w:tab w:val="clear" w:pos="8786"/>
              <w:tab w:val="right" w:pos="9025" w:leader="dot"/>
            </w:tabs>
          </w:pPr>
          <w:hyperlink w:history="1" w:anchor="sec_5_2">
            <w:r>
              <w:rPr>
                <w:rStyle w:val="IndexLink"/>
              </w:rPr>
              <w:t xml:space="default">5.2 Technical support</w:t>
              <w:tab/>
              <w:t xml:space="default">48</w:t>
            </w:r>
          </w:hyperlink>
        </w:p>
        <w:p>
          <w:pPr>
            <w:pStyle w:val="TOC2"/>
            <w:tabs>
              <w:tab w:val="clear" w:pos="8786"/>
              <w:tab w:val="right" w:pos="9025" w:leader="dot"/>
            </w:tabs>
          </w:pPr>
          <w:hyperlink w:history="1" w:anchor="sec_5_3">
            <w:r>
              <w:rPr>
                <w:rStyle w:val="IndexLink"/>
              </w:rPr>
              <w:t xml:space="default">5.3 Requirements of the Supplier's technical team</w:t>
              <w:tab/>
              <w:t xml:space="default">48</w:t>
            </w:r>
          </w:hyperlink>
          <w:r>
            <w:fldChar w:fldCharType="end"/>
          </w:r>
        </w:p>
      </w:sdtContent>
    </w:sdt>
    <w:p>
      <w:pPr>
        <w:pStyle w:val="Heading1"/>
        <w:pageBreakBefore/>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and Configuration Governance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the Proposer's own Environmental and Social Management Plan accompanies the proposal. Rejected and defective cards, which carry personal data, are destroyed by cross-cut shredding under dual custody, with a destruction certificate for every batch.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are delivered by a CIRA-registered rehabilitation contractor, as Addendum No. 2 requires, supervised by the Supplier under its single-point accountability. A reconnaissance of the premises has identified the gaps, and the preliminary drawings and bill of quantities quantify the materials, equipment and works. As clarified in the Responses to Queries 003 and 04, new power, HVAC, fire, physical security and secure areas are designed without reliance on existing infrastructure, to the ICT Site Preparation Guide issued in week 4, with works in weeks 7 to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r>
              <w:rPr>
                <w:b w:val="false"/>
                <w:bCs w:val="false"/>
                <w:i w:val="false"/>
                <w:iCs w:val="false"/>
              </w:rPr>
              <w:t xml:space="preserve">; Attachment: CIRA registration certificate;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specified to ISO/IEC 7810, ISO/IEC 10373-1 and ISO/IEC 24789. Card-body features include guilloche, OVMI, UV, photonic crystal and thermochromic ink; laser personalization adds a grayscale portrait, CLI, micro-text, tactile relief and a signed QR code.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affixes one to four cards per carrier, re-reads card and carrier together, and takes job data live from the Mailing and Dispatch Management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provides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Mailing system datasheet; Preliminary Project Plan Annex A</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delivers the facility turnkey as a single point of accountability: the equipment, two million cards, application software, ICT infrastructure at the primary and secondary sites, NRIS integration and the facility works,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the Supplier engages the operator and connects its tracking service through a configured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active application servers are load balanced across a two-host failover cluster, and the database runs as a two-node high availability cluster,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256 GB, in application and database clusters on a dual-controller RAID 6 array of not less than 20 TB usable after RAID; redundant layer 3 core switches; a high availability firewall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modular fiber laser systems mark both faces in one pass, with grayscale, QR and CLI. As clarified in the Response to Clarifications 001, 2,000 cards per hour is the combined rate, at least 1,000 per machine. Each station marks a whole card alone and can leave service without stopping the line, as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an integrated laser cooling system, a 600-card stacker and an industrial control PC running the machine software. No air compressor is needed, as the machines use no compressed 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affix one to four cards, verify card and carrier by 1D, 2D or QR code, fold, insert and seal. Reject magazines, buffer modules and destination sorting are included. As clarified in the Clarifications to Queries 005, combined capacity is 2,000 single-card mailers per hour.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the Supplier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facility works provide uninterruptible power supply, a 50 kVA standby generator in its own housing, a main control board combining the utility, generator and UPS supplies with automatic transfer, rack power distribution units and grounding; air conditioning with humidity control, precision cooling, air filtration and environmental monitoring linked to alerting; and ZKTeco biometric access control, Hikvision closed circuit television, intrusion detection and clean agent fire suppression. As clarified in the Responses to Queries 003 and 04, none relies on existing site infrastructure, and the Purchaser supplies a separate, dedicated power connection to the approved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bill of quantities</w:t>
            </w:r>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Change Management and Configuration Governance Plan </w:t>
            </w:r>
            <w:r>
              <w:rPr>
                <w:b w:val="false"/>
                <w:bCs w:val="false"/>
                <w:i w:val="false"/>
                <w:iCs w:val="false"/>
              </w:rPr>
              <w:t xml:space="preserve">Sections 4</w:t>
            </w:r>
            <w:r>
              <w:rPr>
                <w:b w:val="false"/>
                <w:bCs w:val="false"/>
                <w:i w:val="false"/>
                <w:iCs w:val="false"/>
              </w:rPr>
              <w:t xml:space="preserve"> to 14</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Supplier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twice and matched to its carrier by identifier, then inserted, sealed and sorted by destination in line, and matched capacity with buffer modules prevents backlog.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across two active application servers kept on different hosts.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Change Management and Configuration Governance Plan </w:t>
            </w:r>
            <w:r>
              <w:rPr>
                <w:b w:val="false"/>
                <w:bCs w:val="false"/>
                <w:i w:val="false"/>
                <w:iCs w:val="false"/>
              </w:rPr>
              <w:t xml:space="preserve">Section 9</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Supplier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information security management system of Inkript, the joint venture member responsible for the Information System, is certified to ISO/IEC 27001. The Network Engineer holds CCNA and CCNP, penetration testing is performed by an independent tester holding CREST or equivalent accreditation, and the certifications of each key person are set out in the attached CVs.</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Inkript ISO/IEC 27001 certificate; Attachment: Key Personnel CVs and certificates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the joint venture member responsible for the Information System, is certified to ISO/IEC 27001, the mandatory certification, maintained throughout the Contract, and to ISO 9001, with copies of both certificates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Inkript ISO/IEC 27001 certificate; Attachment: Inkript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the Responses to Queries 04 and the Clarifications to Queries 005. Signature formats align with eIDAS digital signature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Supplier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The Supplier accepts single-point responsibility for the integration.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Supplier designs each interface in an Interface Control Document and develops, tests and deploys its production side over REST APIs, SOAP web services, secure file transfer, message queues and middleware, or database integration. As clarified in the Responses to Queries 003 and the Clarifications to Queries 005, NRB developers build the NRIS side and the Purchaser provides its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the Clarifications to Queries 005, the main route is the NRIS API the Purchaser provides.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the Clarifications to Queries 005, the secondary environment is provisioned at the existing NRB disaster recovery site in Blantyre.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the Clarifications to Queries 005, the Supplier engages the postal operator and connects the System to its tracking service.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59"/>
        <w:gridCol w:w="4862"/>
        <w:gridCol w:w="1999"/>
      </w:tblGrid>
      <w:tr>
        <w:trPr>
          <w:tblHeader/>
        </w:trPr>
        <w:tc>
          <w:tcPr>
            <w:tcW w:type="dxa" w:w="215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62"/>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59"/>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the Supplier recommends 24 user trainees against a minimum of 16 to staff two shifts, with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59"/>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The Supplier recommends 15 technical trainees against a minimum of nine, so that no technical role rests on one trained person, with stated prerequisites for each role.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59"/>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59"/>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59"/>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862"/>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5"/>
        <w:gridCol w:w="4935"/>
        <w:gridCol w:w="2000"/>
      </w:tblGrid>
      <w:tr>
        <w:trPr>
          <w:tblHeader/>
        </w:trPr>
        <w:tc>
          <w:tcPr>
            <w:tcW w:type="dxa" w:w="2085"/>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35"/>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85"/>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085"/>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5"/>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085"/>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085"/>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085"/>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85"/>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085"/>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85"/>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85"/>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085"/>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Preliminary drawings of the proposed facility are attached, and detailed shop drawings are submitted to the Purchaser for approval before the works start. Electrical drawings, UPS configuration, generator integration, HVAC, fire suppression, access control, CCTV, structured cabling, raised floor and environmental monitoring documentation are delivered with the facility works, in as-built form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preliminary drawings</w:t>
            </w:r>
          </w:p>
        </w:tc>
      </w:tr>
      <w:tr>
        <w:tc>
          <w:tcPr>
            <w:tcW w:type="dxa" w:w="2085"/>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4935"/>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and ISO 9001 certificates and the card manufacturer's ISO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Inkript ISO/IEC 27001 certificate; Attachment: Inkript ISO 9001 certificate;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The Solution Architect leads security architecture and design, assesses the impact of technical changes and approves medium and high-risk changes as technical lead. The nominee holds a Bachelor's degree in a listed field and has at least five years in solution architecture, systems integration, interoperability and technical assurance.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Sections 4 and 8</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Sections 2 and 4</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The Cybersecurity and PKI Specialist holds a degree in cybersecurity, computer science or information security, has experience with hardware security modules, encryption and certificates, and leads governance, key management and incident response.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The ID Card Security Specialist holds a degree or diploma in computer science or information security, has experience in secure ID card and secure document programs, and delivers quality assurance and security feature inspection training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The Software Integration Specialist holds a degree in computer science, software engineering or information systems, has at least five years in enterprise systems integration, and is responsible for the NRIS interface, secure development, interface security and software releases.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 10</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and Change Management Specialist holds a degree in ICT, education or human resource development, has at least five years delivering ICT training to government staff, operators and administrators, and leads the training program, including the training needs that changes to the system create.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 16</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Supplier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The Quality Assurance and Testing Specialist holds a degree in computer science, engineering or quality management, has at least five years in enterprise ICT testing, including user acceptance, performance and security testing, and leads the security test program and requirement-to-test traceability.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The Card Production Facility Infrastructure Engineer holds a degree in computer engineering, IT or electrical engineering and relevant manufacturer certifications, has at least five years in data center and high availability systems, and is responsible for the hardened platform, clusters, storage, secondary environment, backup and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7"/>
        <w:gridCol w:w="5093"/>
        <w:gridCol w:w="2000"/>
      </w:tblGrid>
      <w:tr>
        <w:trPr>
          <w:tblHeader/>
        </w:trPr>
        <w:tc>
          <w:tcPr>
            <w:tcW w:type="dxa" w:w="192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93"/>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927"/>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927"/>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927"/>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927"/>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927"/>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093"/>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as their datasheet shows.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 integrated cooling system in each machine maintains laser operating temperature under continuous industrial duty, and the machines are rated for 24/7 operation. Cooling is serviced at the manufacturer's preventive maintenance intervals.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cooling system are fully integrated into the personalization machine rather than assembled from separate units, and operate as a single system under synchronized workflow control.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integrated laser station receives the full card layout and the full data record for its card, and completes all marking on both faces without depending on any other 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Any laser station can be switched on, switched off or removed for maintenance while the line runs, and the workflow routes cards only to available stations. All stations are calibrated to identical quality, so output is unaffected, and this is demonstrated at factory acceptance by taking a station out during a run.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System Architecture describes each component.</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with five laser heads per machine: two for each face and one for the CLI. Wavelength, expected operational lifespan and maintenance intervals are stated in the Laser Engraving Unit Details submitted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Engraving Unit Details;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needs no compressed air, so no air pressure, flow rate or compressor specification applies. The dedicated Power and Air Pressure Requirements document sets out the power requirements and confirms that no compressed air is required.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cards are affixed and the match is verified,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verification station reads 1D, 2D and QR codes, and this is tested at factory acceptance. Each card is read twice against the job record, before its carrier is printed and again with its carrier after affixing, and any mismatch is diverted to the reject magazine instead of being inserted.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the Supplier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the Supplier engages the operator that delivers the cards and connects the System to its tracking service.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5"/>
        <w:gridCol w:w="5015"/>
        <w:gridCol w:w="2000"/>
      </w:tblGrid>
      <w:tr>
        <w:trPr>
          <w:tblHeader/>
        </w:trPr>
        <w:tc>
          <w:tcPr>
            <w:tcW w:type="dxa" w:w="2005"/>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15"/>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5"/>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is specified to ISO/IEC 7810, ISO/IEC 10373-1, ISO/IEC 24789-1 and ISO/IEC 24789-2.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manufacturer's technical datasheet</w:t>
            </w:r>
          </w:p>
        </w:tc>
      </w:tr>
      <w:tr>
        <w:tc>
          <w:tcPr>
            <w:tcW w:type="dxa" w:w="2005"/>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w:t>
            </w:r>
          </w:p>
        </w:tc>
      </w:tr>
      <w:tr>
        <w:tc>
          <w:tcPr>
            <w:tcW w:type="dxa" w:w="2005"/>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p>
        </w:tc>
      </w:tr>
      <w:tr>
        <w:tc>
          <w:tcPr>
            <w:tcW w:type="dxa" w:w="2005"/>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5"/>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15"/>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5"/>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15"/>
            <w:tcMar>
              <w:top w:type="dxa" w:w="60"/>
              <w:left w:type="dxa" w:w="100"/>
              <w:bottom w:type="dxa" w:w="60"/>
              <w:right w:type="dxa" w:w="100"/>
            </w:tcMar>
          </w:tcPr>
          <w:p>
            <w:pPr>
              <w:spacing w:after="0" w:before="0"/>
            </w:pPr>
            <w:r>
              <w:rPr>
                <w:b w:val="false"/>
                <w:bCs w:val="false"/>
                <w:i w:val="false"/>
                <w:iCs w:val="false"/>
              </w:rPr>
              <w:t xml:space="preserve">Not fewer than two laboratory test reports, from an independent international laboratory holding ISO/IEC 17025 accreditation and covering all fourteen named tests against ISO/IEC 7810, ISO/IEC 10373-1 and ISO/IEC 24789, are provided before the first card delivery. The Supplier arranges the testing, on cards of six or more fully fused layers without adhesives.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Supplier renovates the designated ground floor area into a secure, production-ready facility for both personalization lines and both mailing lines, to the attached preliminary drawings, delivered under the facility works by a CIRA-registered rehabilitation contractor in weeks 7 to 18. As clarified in the Responses to Queries 04, the design relies on no existing electrical, HVAC, ICT or security infrastructure.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CIRA registration certificate;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quantified in the attached bill of quantities and scheduled as phase 4 of the implementation plan. They are coordinated with the Information System through the ICT Site Preparation Guide, a readiness inspection in week 18 and building-level checks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reconnaissance of the premises was carried out during proposal preparation, and the preliminary drawings are attached. After award, the detailed site survey verifies dimensions, existing infrastructure, structural suitability, electrical load capacity and environmental conditions and identifies the renovation requirements, leading to the implementation drawings and designs, with the ICT Site Preparation Guide setting loads, power, heat and clearances. As clarified in the Responses to Queries 003, NRB coordinates Buildings Department approval of the structural and electrical designs.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to the approved room layout and as quantified in the attached bill of quantities. Raised floor records are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attached preliminary drawings provide every listed area: separated secure areas for card personalization, blank card storage sized for all 2,000,000 cards, consumables storage, quality assurance, secure destruction, packaging and mailing, the server room, the control room and operator workspaces, so that stock reconciliation rests on physically controlled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w:t>
            </w:r>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under biometric access control, secure locks, lockable security cages and secure storage installations for the blank card store and the destruction area, and an anti-bandit door to the server room. Every opening is logged and correlated with system activity.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rewiring, dedicated circuits, distribution boards, protection, isolators and breakers, earthing, lightning protection, outlets, cable management and emergency lighting, backed by uninterruptible power supply and a 50 kVA standby generator with automatic transfer. As clarified in the Responses to Queries 04, NRB supplies a separate, dedicated power connection to the approved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and quantified in the attached bill of quantities, with data center rack arrangements in the server room. Cable management and labeling are verified in pre-commissioning.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the ISO/IEC 11801 and ANSI/TIA-568 structured cabling standards, and the cabling records are delivered with the facility documentation. Connectivity, throughput and redundancy are verified in the network infrastructure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biometric access control system,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Hikvision closed circuit television system, with internal and external cameras covering the production area, secure stores, server room and perimeter, records to a video recording system with centralized monitoring and long-term storage under a defined retention period.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ZKTeco intrusion detection system with motion sensors, door sensors, alarms and panic alarms is installed across the facility, and its alarm events feed the security information and event management system for correlation with system events.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Facility works preliminary drawings; Attachment: Facility works bill of quantities</w:t>
            </w:r>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contractor's Environmental and Social Management Plan, the Waste Management Plan and the Occupational Health and Safety Plan submitted with the proposal, covering occupational health and safety standards, safe working practices, environmental compliance, segregation and disposal of construction, electronic and hazardous waste, and hazard management during the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structured cabling and physical security systems are tested and commissioned under the facility works, including load testing, and their test reports, as-built drawings and manuals are delivered at handover. The Pre-Commissioning Test Program, as amended by Addendum No. 2, then covers network and cabling, access control, production workflow simulation, performance and capacity under load, and pilot production readiness, followed by the operational acceptance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using the as-built drawings and user manuals. It complements the Information System training, which covers emergency stops and safe working at the lines and includes a facility management participant in management training.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for the same period, backed by the manufacturers' warranty letters delivered at handover.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bl>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1"/>
        <w:gridCol w:w="199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31"/>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FAT hosting confirmation</w:t>
            </w:r>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31"/>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electrical power tests verify the utility supply, UPS functionality, power distribution, load on the power circuits, automatic transfer between utility and generator, earthing and grounding, and voltage and frequency stability, and the results are issued as the Electrical Systems Test Report. The Information System relies on that result, and thereafter monitors power and UPS status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the environmental tests verify HVAC temperature and humidity control and airflow, smoke detector function, alarm activation, suppression system readiness and the water leakage detection sensors, and the results are issued as the Environmental Systems Readiness Report. Temperature, humidity and power readings then feed the System's monitoring and alerting, and environmental monitoring events feed security event management.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49"/>
        <w:gridCol w:w="2001"/>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The Supplier assists the Purchaser in running the seventeen Table B tests in weeks 27 to 30, against the NRIS test environment as the Responses to Queries 003 require, so that no card produced in testing is issued to a citizen. Each is measured by a method agreed with NRB in the operational acceptance test procedures issued in week 24. Their completion is the Operational Acceptance gate in week 30, from which post-Operational Acceptance technical assistance starts.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independent laser stations and two independent lines mean a component failure reduces throughput rather than stopping production.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twice against its record, the second time on its carrier after affixing, and a dispatch record is generated and stored for every mail piece.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49"/>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9"/>
        <w:gridCol w:w="5510"/>
        <w:gridCol w:w="2001"/>
      </w:tblGrid>
      <w:tr>
        <w:trPr>
          <w:tblHeader/>
        </w:trPr>
        <w:tc>
          <w:tcPr>
            <w:tcW w:type="dxa" w:w="150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509"/>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1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387"/>
        <w:gridCol w:w="2083"/>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387"/>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83"/>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w:t>
            </w:r>
          </w:p>
        </w:tc>
        <w:tc>
          <w:tcPr>
            <w:tcW w:type="dxa" w:w="2083"/>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Change Management and Configuration Governance Plan </w:t>
            </w:r>
            <w:r>
              <w:rPr>
                <w:b w:val="false"/>
                <w:bCs w:val="false"/>
                <w:i w:val="false"/>
                <w:iCs w:val="false"/>
              </w:rPr>
              <w:t xml:space="preserve">Sections 2 and 6</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387"/>
            <w:tcMar>
              <w:top w:type="dxa" w:w="60"/>
              <w:left w:type="dxa" w:w="100"/>
              <w:bottom w:type="dxa" w:w="60"/>
              <w:right w:type="dxa" w:w="100"/>
            </w:tcMar>
          </w:tcPr>
          <w:p>
            <w:pPr>
              <w:spacing w:after="0" w:before="0"/>
            </w:pPr>
            <w:r>
              <w:rPr>
                <w:b w:val="false"/>
                <w:bCs w:val="false"/>
                <w:i w:val="false"/>
                <w:iCs w:val="false"/>
              </w:rPr>
              <w:t xml:space="preserve">The Card Production Facility Infrastructure Engineer holds a degree in computer engineering, IT or electrical engineering and relevant manufacturer certifications, with at least five years in data center and high availability systems. The role leads the hardened platform, secondary environment, backup and recovery, and trains NRB staff on the clusters, storage array and database.</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387"/>
            <w:tcMar>
              <w:top w:type="dxa" w:w="60"/>
              <w:left w:type="dxa" w:w="100"/>
              <w:bottom w:type="dxa" w:w="60"/>
              <w:right w:type="dxa" w:w="100"/>
            </w:tcMar>
          </w:tcPr>
          <w:p>
            <w:pPr>
              <w:spacing w:after="0" w:before="0"/>
            </w:pPr>
            <w:r>
              <w:rPr>
                <w:b w:val="false"/>
                <w:bCs w:val="false"/>
                <w:i w:val="false"/>
                <w:iCs w:val="false"/>
              </w:rPr>
              <w:t xml:space="preserve">The ID Card Security Specialist holds a degree or diploma in computer science or information security and has experience in secure ID card and secure document programs. The specialist also trains NRB staff on quality assurance and the inspection of card security features, such as the UV, deliberate error, tactile laser and signed QR elements.</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w:t>
            </w:r>
          </w:p>
        </w:tc>
        <w:tc>
          <w:tcPr>
            <w:tcW w:type="dxa" w:w="2083"/>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387"/>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w:t>
            </w:r>
          </w:p>
        </w:tc>
        <w:tc>
          <w:tcPr>
            <w:tcW w:type="dxa" w:w="2083"/>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387"/>
            <w:tcMar>
              <w:top w:type="dxa" w:w="60"/>
              <w:left w:type="dxa" w:w="100"/>
              <w:bottom w:type="dxa" w:w="60"/>
              <w:right w:type="dxa" w:w="100"/>
            </w:tcMar>
          </w:tcPr>
          <w:p>
            <w:pPr>
              <w:spacing w:after="0" w:before="0"/>
            </w:pPr>
            <w:r>
              <w:rPr>
                <w:b w:val="false"/>
                <w:bCs w:val="false"/>
                <w:i w:val="false"/>
                <w:iCs w:val="false"/>
              </w:rPr>
              <w:t xml:space="preserve">The Cybersecurity and PKI Specialist holds a degree in cybersecurity, computer science or information security, with experience of hardware security modules, encryption and digital certificates. The role provides Level 2 security support through the warranty period.</w:t>
            </w:r>
          </w:p>
        </w:tc>
        <w:tc>
          <w:tcPr>
            <w:tcW w:type="dxa" w:w="2083"/>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2026-10-09T08:48:58.534Z</dcterms:created>
  <dcterms:modified xsi:type="dcterms:W3CDTF">2026-10-09T08:48:58.534Z</dcterms:modified>
</cp:coreProperties>
</file>

<file path=docProps/custom.xml><?xml version="1.0" encoding="utf-8"?>
<Properties xmlns="http://schemas.openxmlformats.org/officeDocument/2006/custom-properties" xmlns:vt="http://schemas.openxmlformats.org/officeDocument/2006/docPropsVTypes"/>
</file>