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34</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1"/>
        <w:gridCol w:w="16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1"/>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69"/>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1"/>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69"/>
            <w:tcMar>
              <w:top w:type="dxa" w:w="60"/>
              <w:left w:type="dxa" w:w="100"/>
              <w:bottom w:type="dxa" w:w="60"/>
              <w:right w:type="dxa" w:w="100"/>
            </w:tcMar>
          </w:tcPr>
          <w:p>
            <w:pPr>
              <w:spacing w:after="0" w:before="0"/>
            </w:pPr>
            <w:r>
              <w:rPr>
                <w:b w:val="false"/>
                <w:bCs w:val="false"/>
                <w:i w:val="false"/>
                <w:iCs w:val="false"/>
              </w:rPr>
              <w:t xml:space="preserve">Equipment manufacturer, under 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1"/>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1"/>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1"/>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69"/>
            <w:tcMar>
              <w:top w:type="dxa" w:w="60"/>
              <w:left w:type="dxa" w:w="100"/>
              <w:bottom w:type="dxa" w:w="60"/>
              <w:right w:type="dxa" w:w="100"/>
            </w:tcMar>
          </w:tcPr>
          <w:p>
            <w:pPr>
              <w:spacing w:after="0" w:before="0"/>
            </w:pPr>
            <w:r>
              <w:rPr>
                <w:b w:val="false"/>
                <w:bCs w:val="false"/>
                <w:i w:val="false"/>
                <w:iCs w:val="false"/>
              </w:rPr>
              <w:t xml:space="preserve">Card manufacturer, under Inkript</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Live production begins with operational acceptance in week 27, on real NRIS records, and volume rises through the sustained production stability test to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Inkript</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6"/>
        <w:gridCol w:w="1340"/>
        <w:gridCol w:w="900"/>
        <w:gridCol w:w="2633"/>
        <w:gridCol w:w="1561"/>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3"/>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6"/>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6"/>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6"/>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6"/>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6"/>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6"/>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6"/>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61"/>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6"/>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6"/>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6"/>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6"/>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6"/>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and environmental monitoring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and security compliance reports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and two days of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470"/>
        <w:gridCol w:w="466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470"/>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660"/>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trainer certification and change management certification;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470"/>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660"/>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ACE-M and PKI certifications; at least five years implementing multilayer polycarbonate card security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Cisco CCNA or CCNP and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CISSP, CISM and CEH; at least seven years in cybersecurity, including three in identity management or PKI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certifications in APIs, middleware and web services;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61"/>
        <w:gridCol w:w="3135"/>
        <w:gridCol w:w="1325"/>
        <w:gridCol w:w="581"/>
        <w:gridCol w:w="1493"/>
        <w:gridCol w:w="1425"/>
      </w:tblGrid>
      <w:tr>
        <w:trPr>
          <w:tblHeader/>
        </w:trPr>
        <w:tc>
          <w:tcPr>
            <w:tcW w:type="dxa" w:w="106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35"/>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325"/>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81"/>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93"/>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25"/>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325"/>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325"/>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325"/>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17</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25"/>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35"/>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25"/>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25"/>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93"/>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25"/>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operates in live production, and NRB operates it</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 live</w:t>
            </w:r>
          </w:p>
        </w:tc>
        <w:tc>
          <w:tcPr>
            <w:tcW w:type="dxa" w:w="581"/>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93"/>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25"/>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25"/>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769"/>
        <w:gridCol w:w="3335"/>
        <w:gridCol w:w="1466"/>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769"/>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335"/>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769"/>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769"/>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769"/>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769"/>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769"/>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66"/>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769"/>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335"/>
            <w:tcMar>
              <w:top w:type="dxa" w:w="60"/>
              <w:left w:type="dxa" w:w="100"/>
              <w:bottom w:type="dxa" w:w="60"/>
              <w:right w:type="dxa" w:w="100"/>
            </w:tcMar>
          </w:tcPr>
          <w:p>
            <w:pPr>
              <w:spacing w:after="0" w:before="0"/>
            </w:pPr>
            <w:r>
              <w:rPr>
                <w:b w:val="false"/>
                <w:bCs w:val="false"/>
                <w:i w:val="false"/>
                <w:iCs w:val="false"/>
              </w:rPr>
              <w:t xml:space="preserve">Pre-commissioning, against the NRIS test environment, then operational acceptance in live operation</w:t>
            </w:r>
          </w:p>
        </w:tc>
        <w:tc>
          <w:tcPr>
            <w:tcW w:type="dxa" w:w="1466"/>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and QR encoding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live production environment, once the Installation Certificate has been issued.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2"/>
        <w:gridCol w:w="3513"/>
        <w:gridCol w:w="2605"/>
      </w:tblGrid>
      <w:tr>
        <w:trPr>
          <w:tblHeader/>
        </w:trPr>
        <w:tc>
          <w:tcPr>
            <w:tcW w:type="dxa" w:w="2902"/>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13"/>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05"/>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compressors, feeders and card transport</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05"/>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13"/>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876"/>
        <w:gridCol w:w="2015"/>
        <w:gridCol w:w="37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876"/>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78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876"/>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015"/>
            <w:tcMar>
              <w:top w:type="dxa" w:w="60"/>
              <w:left w:type="dxa" w:w="100"/>
              <w:bottom w:type="dxa" w:w="60"/>
              <w:right w:type="dxa" w:w="100"/>
            </w:tcMar>
          </w:tcPr>
          <w:p>
            <w:pPr>
              <w:spacing w:after="0" w:before="0"/>
            </w:pPr>
            <w:r>
              <w:rPr>
                <w:b w:val="false"/>
                <w:bCs w:val="false"/>
                <w:i w:val="false"/>
                <w:iCs w:val="false"/>
              </w:rPr>
              <w:t xml:space="preserve">240 core licenses: 5 hosts of two 24-core processors, 4 at the primary site and 1 at the secondary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015"/>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789"/>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876"/>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015"/>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876"/>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78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015"/>
            <w:tcMar>
              <w:top w:type="dxa" w:w="60"/>
              <w:left w:type="dxa" w:w="100"/>
              <w:bottom w:type="dxa" w:w="60"/>
              <w:right w:type="dxa" w:w="100"/>
            </w:tcMar>
          </w:tcPr>
          <w:p>
            <w:pPr>
              <w:spacing w:after="0" w:before="0"/>
            </w:pPr>
            <w:r>
              <w:rPr>
                <w:b w:val="false"/>
                <w:bCs w:val="false"/>
                <w:i w:val="false"/>
                <w:iCs w:val="false"/>
              </w:rPr>
              <w:t xml:space="preserve">10</w:t>
            </w:r>
          </w:p>
        </w:tc>
        <w:tc>
          <w:tcPr>
            <w:tcW w:type="dxa" w:w="378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unit</w:t>
            </w:r>
          </w:p>
        </w:tc>
        <w:tc>
          <w:tcPr>
            <w:tcW w:type="dxa" w:w="2015"/>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31: the 5 hosts; 16 virtual machines, being the 12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12,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2026-10-07T08:03:06.737Z</dcterms:created>
  <dcterms:modified xsi:type="dcterms:W3CDTF">2026-10-07T08:03:06.737Z</dcterms:modified>
</cp:coreProperties>
</file>

<file path=docProps/custom.xml><?xml version="1.0" encoding="utf-8"?>
<Properties xmlns="http://schemas.openxmlformats.org/officeDocument/2006/custom-properties" xmlns:vt="http://schemas.openxmlformats.org/officeDocument/2006/docPropsVTypes"/>
</file>