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Functional, Architectural and Performance Requirements</w:t>
              <w:tab/>
              <w:t xml:space="default">2</w:t>
            </w:r>
          </w:hyperlink>
        </w:p>
        <w:p>
          <w:pPr>
            <w:pStyle w:val="TOC2"/>
            <w:tabs>
              <w:tab w:val="clear" w:pos="8786"/>
              <w:tab w:val="right" w:pos="9025" w:leader="dot"/>
            </w:tabs>
          </w:pPr>
          <w:hyperlink w:history="1" w:anchor="sec_1_1">
            <w:r>
              <w:rPr>
                <w:rStyle w:val="IndexLink"/>
              </w:rPr>
              <w:t xml:space="default">1.1 Legal and regulatory requirements</w:t>
              <w:tab/>
              <w:t xml:space="default">2</w:t>
            </w:r>
          </w:hyperlink>
        </w:p>
        <w:p>
          <w:pPr>
            <w:pStyle w:val="TOC2"/>
            <w:tabs>
              <w:tab w:val="clear" w:pos="8786"/>
              <w:tab w:val="right" w:pos="9025" w:leader="dot"/>
            </w:tabs>
          </w:pPr>
          <w:hyperlink w:history="1" w:anchor="sec_1_2">
            <w:r>
              <w:rPr>
                <w:rStyle w:val="IndexLink"/>
              </w:rPr>
              <w:t xml:space="default">1.2 Business function requirements</w:t>
              <w:tab/>
              <w:t xml:space="default">3</w:t>
            </w:r>
          </w:hyperlink>
        </w:p>
        <w:p>
          <w:pPr>
            <w:pStyle w:val="TOC2"/>
            <w:tabs>
              <w:tab w:val="clear" w:pos="8786"/>
              <w:tab w:val="right" w:pos="9025" w:leader="dot"/>
            </w:tabs>
          </w:pPr>
          <w:hyperlink w:history="1" w:anchor="sec_1_3">
            <w:r>
              <w:rPr>
                <w:rStyle w:val="IndexLink"/>
              </w:rPr>
              <w:t xml:space="default">1.3 Architectural requirements</w:t>
              <w:tab/>
              <w:t xml:space="default">4</w:t>
            </w:r>
          </w:hyperlink>
        </w:p>
        <w:p>
          <w:pPr>
            <w:pStyle w:val="TOC2"/>
            <w:tabs>
              <w:tab w:val="clear" w:pos="8786"/>
              <w:tab w:val="right" w:pos="9025" w:leader="dot"/>
            </w:tabs>
          </w:pPr>
          <w:hyperlink w:history="1" w:anchor="sec_1_4">
            <w:r>
              <w:rPr>
                <w:rStyle w:val="IndexLink"/>
              </w:rPr>
              <w:t xml:space="default">1.4 Systems administration and management functions</w:t>
              <w:tab/>
              <w:t xml:space="default">9</w:t>
            </w:r>
          </w:hyperlink>
        </w:p>
        <w:p>
          <w:pPr>
            <w:pStyle w:val="TOC2"/>
            <w:tabs>
              <w:tab w:val="clear" w:pos="8786"/>
              <w:tab w:val="right" w:pos="9025" w:leader="dot"/>
            </w:tabs>
          </w:pPr>
          <w:hyperlink w:history="1" w:anchor="sec_1_5">
            <w:r>
              <w:rPr>
                <w:rStyle w:val="IndexLink"/>
              </w:rPr>
              <w:t xml:space="default">1.5 Performance requirements</w:t>
              <w:tab/>
              <w:t xml:space="default">10</w:t>
            </w:r>
          </w:hyperlink>
        </w:p>
        <w:p>
          <w:pPr>
            <w:pStyle w:val="TOC2"/>
            <w:tabs>
              <w:tab w:val="clear" w:pos="8786"/>
              <w:tab w:val="right" w:pos="9025" w:leader="dot"/>
            </w:tabs>
          </w:pPr>
          <w:hyperlink w:history="1" w:anchor="sec_1_6">
            <w:r>
              <w:rPr>
                <w:rStyle w:val="IndexLink"/>
              </w:rPr>
              <w:t xml:space="default">1.6 Cyber security</w:t>
              <w:tab/>
              <w:t xml:space="default">13</w:t>
            </w:r>
          </w:hyperlink>
        </w:p>
        <w:p>
          <w:pPr>
            <w:pStyle w:val="TOC1"/>
            <w:tabs>
              <w:tab w:val="clear" w:pos="9026"/>
              <w:tab w:val="right" w:pos="9025" w:leader="dot"/>
            </w:tabs>
          </w:pPr>
          <w:hyperlink w:history="1" w:anchor="sec_2">
            <w:r>
              <w:rPr>
                <w:rStyle w:val="IndexLink"/>
              </w:rPr>
              <w:t xml:space="default">2. Service Specifications, Supply and Install Items</w:t>
              <w:tab/>
              <w:t xml:space="default">17</w:t>
            </w:r>
          </w:hyperlink>
        </w:p>
        <w:p>
          <w:pPr>
            <w:pStyle w:val="TOC2"/>
            <w:tabs>
              <w:tab w:val="clear" w:pos="8786"/>
              <w:tab w:val="right" w:pos="9025" w:leader="dot"/>
            </w:tabs>
          </w:pPr>
          <w:hyperlink w:history="1" w:anchor="sec_2_1">
            <w:r>
              <w:rPr>
                <w:rStyle w:val="IndexLink"/>
              </w:rPr>
              <w:t xml:space="default">2.1 System integration</w:t>
              <w:tab/>
              <w:t xml:space="default">17</w:t>
            </w:r>
          </w:hyperlink>
        </w:p>
        <w:p>
          <w:pPr>
            <w:pStyle w:val="TOC2"/>
            <w:tabs>
              <w:tab w:val="clear" w:pos="8786"/>
              <w:tab w:val="right" w:pos="9025" w:leader="dot"/>
            </w:tabs>
          </w:pPr>
          <w:hyperlink w:history="1" w:anchor="sec_2_2">
            <w:r>
              <w:rPr>
                <w:rStyle w:val="IndexLink"/>
              </w:rPr>
              <w:t xml:space="default">2.2 Training and training materials</w:t>
              <w:tab/>
              <w:t xml:space="default">21</w:t>
            </w:r>
          </w:hyperlink>
        </w:p>
        <w:p>
          <w:pPr>
            <w:pStyle w:val="TOC2"/>
            <w:tabs>
              <w:tab w:val="clear" w:pos="8786"/>
              <w:tab w:val="right" w:pos="9025" w:leader="dot"/>
            </w:tabs>
          </w:pPr>
          <w:hyperlink w:history="1" w:anchor="sec_2_3">
            <w:r>
              <w:rPr>
                <w:rStyle w:val="IndexLink"/>
              </w:rPr>
              <w:t xml:space="default">2.3 Documentation requirements</w:t>
              <w:tab/>
              <w:t xml:space="default">23</w:t>
            </w:r>
          </w:hyperlink>
        </w:p>
        <w:p>
          <w:pPr>
            <w:pStyle w:val="TOC2"/>
            <w:tabs>
              <w:tab w:val="clear" w:pos="8786"/>
              <w:tab w:val="right" w:pos="9025" w:leader="dot"/>
            </w:tabs>
          </w:pPr>
          <w:hyperlink w:history="1" w:anchor="sec_2_4">
            <w:r>
              <w:rPr>
                <w:rStyle w:val="IndexLink"/>
              </w:rPr>
              <w:t xml:space="default">2.4 Requirements of the Supplier's technical team</w:t>
              <w:tab/>
              <w:t xml:space="default">26</w:t>
            </w:r>
          </w:hyperlink>
        </w:p>
        <w:p>
          <w:pPr>
            <w:pStyle w:val="TOC1"/>
            <w:tabs>
              <w:tab w:val="clear" w:pos="9026"/>
              <w:tab w:val="right" w:pos="9025" w:leader="dot"/>
            </w:tabs>
          </w:pPr>
          <w:hyperlink w:history="1" w:anchor="sec_3">
            <w:r>
              <w:rPr>
                <w:rStyle w:val="IndexLink"/>
              </w:rPr>
              <w:t xml:space="default">3. Technology Specifications, Supply and Install Items</w:t>
              <w:tab/>
              <w:t xml:space="default">30</w:t>
            </w:r>
          </w:hyperlink>
        </w:p>
        <w:p>
          <w:pPr>
            <w:pStyle w:val="TOC2"/>
            <w:tabs>
              <w:tab w:val="clear" w:pos="8786"/>
              <w:tab w:val="right" w:pos="9025" w:leader="dot"/>
            </w:tabs>
          </w:pPr>
          <w:hyperlink w:history="1" w:anchor="sec_3_1">
            <w:r>
              <w:rPr>
                <w:rStyle w:val="IndexLink"/>
              </w:rPr>
              <w:t xml:space="default">3.1 Automatic modular laser personalization systems</w:t>
              <w:tab/>
              <w:t xml:space="default">30</w:t>
            </w:r>
          </w:hyperlink>
        </w:p>
        <w:p>
          <w:pPr>
            <w:pStyle w:val="TOC2"/>
            <w:tabs>
              <w:tab w:val="clear" w:pos="8786"/>
              <w:tab w:val="right" w:pos="9025" w:leader="dot"/>
            </w:tabs>
          </w:pPr>
          <w:hyperlink w:history="1" w:anchor="sec_3_2">
            <w:r>
              <w:rPr>
                <w:rStyle w:val="IndexLink"/>
              </w:rPr>
              <w:t xml:space="default">3.2 Personalization laser features</w:t>
              <w:tab/>
              <w:t xml:space="default">32</w:t>
            </w:r>
          </w:hyperlink>
        </w:p>
        <w:p>
          <w:pPr>
            <w:pStyle w:val="TOC2"/>
            <w:tabs>
              <w:tab w:val="clear" w:pos="8786"/>
              <w:tab w:val="right" w:pos="9025" w:leader="dot"/>
            </w:tabs>
          </w:pPr>
          <w:hyperlink w:history="1" w:anchor="sec_3_3">
            <w:r>
              <w:rPr>
                <w:rStyle w:val="IndexLink"/>
              </w:rPr>
              <w:t xml:space="default">3.3 Automated mailing and dispatch systems</w:t>
              <w:tab/>
              <w:t xml:space="default">34</w:t>
            </w:r>
          </w:hyperlink>
        </w:p>
        <w:p>
          <w:pPr>
            <w:pStyle w:val="TOC2"/>
            <w:tabs>
              <w:tab w:val="clear" w:pos="8786"/>
              <w:tab w:val="right" w:pos="9025" w:leader="dot"/>
            </w:tabs>
          </w:pPr>
          <w:hyperlink w:history="1" w:anchor="sec_3_4">
            <w:r>
              <w:rPr>
                <w:rStyle w:val="IndexLink"/>
              </w:rPr>
              <w:t xml:space="default">3.4 Polycarbonate cards</w:t>
              <w:tab/>
              <w:t xml:space="default">36</w:t>
            </w:r>
          </w:hyperlink>
        </w:p>
        <w:p>
          <w:pPr>
            <w:pStyle w:val="TOC2"/>
            <w:tabs>
              <w:tab w:val="clear" w:pos="8786"/>
              <w:tab w:val="right" w:pos="9025" w:leader="dot"/>
            </w:tabs>
          </w:pPr>
          <w:hyperlink w:history="1" w:anchor="sec_3_5">
            <w:r>
              <w:rPr>
                <w:rStyle w:val="IndexLink"/>
              </w:rPr>
              <w:t xml:space="default">3.5 Renovation of premises</w:t>
              <w:tab/>
              <w:t xml:space="default">37</w:t>
            </w:r>
          </w:hyperlink>
        </w:p>
        <w:p>
          <w:pPr>
            <w:pStyle w:val="TOC1"/>
            <w:tabs>
              <w:tab w:val="clear" w:pos="9026"/>
              <w:tab w:val="right" w:pos="9025" w:leader="dot"/>
            </w:tabs>
          </w:pPr>
          <w:hyperlink w:history="1" w:anchor="sec_4">
            <w:r>
              <w:rPr>
                <w:rStyle w:val="IndexLink"/>
              </w:rPr>
              <w:t xml:space="default">4. Testing and Quality Assurance Requirements</w:t>
              <w:tab/>
              <w:t xml:space="default">41</w:t>
            </w:r>
          </w:hyperlink>
        </w:p>
        <w:p>
          <w:pPr>
            <w:pStyle w:val="TOC2"/>
            <w:tabs>
              <w:tab w:val="clear" w:pos="8786"/>
              <w:tab w:val="right" w:pos="9025" w:leader="dot"/>
            </w:tabs>
          </w:pPr>
          <w:hyperlink w:history="1" w:anchor="sec_4_1">
            <w:r>
              <w:rPr>
                <w:rStyle w:val="IndexLink"/>
              </w:rPr>
              <w:t xml:space="default">4.1 Inspections</w:t>
              <w:tab/>
              <w:t xml:space="default">41</w:t>
            </w:r>
          </w:hyperlink>
        </w:p>
        <w:p>
          <w:pPr>
            <w:pStyle w:val="TOC2"/>
            <w:tabs>
              <w:tab w:val="clear" w:pos="8786"/>
              <w:tab w:val="right" w:pos="9025" w:leader="dot"/>
            </w:tabs>
          </w:pPr>
          <w:hyperlink w:history="1" w:anchor="sec_4_2">
            <w:r>
              <w:rPr>
                <w:rStyle w:val="IndexLink"/>
              </w:rPr>
              <w:t xml:space="default">4.2 Pre-commissioning tests</w:t>
              <w:tab/>
              <w:t xml:space="default">41</w:t>
            </w:r>
          </w:hyperlink>
        </w:p>
        <w:p>
          <w:pPr>
            <w:pStyle w:val="TOC2"/>
            <w:tabs>
              <w:tab w:val="clear" w:pos="8786"/>
              <w:tab w:val="right" w:pos="9025" w:leader="dot"/>
            </w:tabs>
          </w:pPr>
          <w:hyperlink w:history="1" w:anchor="sec_4_3">
            <w:r>
              <w:rPr>
                <w:rStyle w:val="IndexLink"/>
              </w:rPr>
              <w:t xml:space="default">4.3 Operational acceptance tests</w:t>
              <w:tab/>
              <w:t xml:space="default">44</w:t>
            </w:r>
          </w:hyperlink>
        </w:p>
        <w:p>
          <w:pPr>
            <w:pStyle w:val="TOC1"/>
            <w:tabs>
              <w:tab w:val="clear" w:pos="9026"/>
              <w:tab w:val="right" w:pos="9025" w:leader="dot"/>
            </w:tabs>
          </w:pPr>
          <w:hyperlink w:history="1" w:anchor="sec_5">
            <w:r>
              <w:rPr>
                <w:rStyle w:val="IndexLink"/>
              </w:rPr>
              <w:t xml:space="default">5. Service Specifications, Recurrent Cost Items</w:t>
              <w:tab/>
              <w:t xml:space="default">48</w:t>
            </w:r>
          </w:hyperlink>
        </w:p>
        <w:p>
          <w:pPr>
            <w:pStyle w:val="TOC2"/>
            <w:tabs>
              <w:tab w:val="clear" w:pos="8786"/>
              <w:tab w:val="right" w:pos="9025" w:leader="dot"/>
            </w:tabs>
          </w:pPr>
          <w:hyperlink w:history="1" w:anchor="sec_5_1">
            <w:r>
              <w:rPr>
                <w:rStyle w:val="IndexLink"/>
              </w:rPr>
              <w:t xml:space="default">5.1 Warranty defect repair</w:t>
              <w:tab/>
              <w:t xml:space="default">48</w:t>
            </w:r>
          </w:hyperlink>
        </w:p>
        <w:p>
          <w:pPr>
            <w:pStyle w:val="TOC2"/>
            <w:tabs>
              <w:tab w:val="clear" w:pos="8786"/>
              <w:tab w:val="right" w:pos="9025" w:leader="dot"/>
            </w:tabs>
          </w:pPr>
          <w:hyperlink w:history="1" w:anchor="sec_5_2">
            <w:r>
              <w:rPr>
                <w:rStyle w:val="IndexLink"/>
              </w:rPr>
              <w:t xml:space="default">5.2 Technical support</w:t>
              <w:tab/>
              <w:t xml:space="default">48</w:t>
            </w:r>
          </w:hyperlink>
        </w:p>
        <w:p>
          <w:pPr>
            <w:pStyle w:val="TOC2"/>
            <w:tabs>
              <w:tab w:val="clear" w:pos="8786"/>
              <w:tab w:val="right" w:pos="9025" w:leader="dot"/>
            </w:tabs>
          </w:pPr>
          <w:hyperlink w:history="1" w:anchor="sec_5_3">
            <w:r>
              <w:rPr>
                <w:rStyle w:val="IndexLink"/>
              </w:rPr>
              <w:t xml:space="default">5.3 Requirements of the Supplier's technical team</w:t>
              <w:tab/>
              <w:t xml:space="default">48</w:t>
            </w:r>
          </w:hyperlink>
          <w:r>
            <w:fldChar w:fldCharType="end"/>
          </w:r>
        </w:p>
      </w:sdtContent>
    </w:sdt>
    <w:p>
      <w:pPr>
        <w:pStyle w:val="Heading1"/>
        <w:pageBreakBefore/>
        <w:numPr>
          <w:ilvl w:val="0"/>
          <w:numId w:val="2"/>
        </w:numPr>
        <w:spacing w:after="140" w:before="240"/>
      </w:pPr>
      <w:r>
        <w:t xml:space="preserve">F</w:t>
      </w:r>
      <w:bookmarkStart w:name="sec_1" w:id="1"/>
      <w:r>
        <w:rPr>
          <w:b w:val="false"/>
          <w:bCs w:val="false"/>
          <w:i w:val="false"/>
          <w:iCs w:val="false"/>
        </w:rPr>
        <w:t xml:space="preserve">unctional, Architectural and Performance Requirements</w:t>
      </w:r>
      <w:bookmarkEnd w:id="1"/>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and Configuration Governance Plan and the attachments.</w:t>
      </w:r>
    </w:p>
    <w:p>
      <w:pPr>
        <w:pStyle w:val="Heading2"/>
        <w:numPr>
          <w:ilvl w:val="1"/>
          <w:numId w:val="2"/>
        </w:numPr>
        <w:spacing w:after="140" w:before="260"/>
      </w:pPr>
      <w:r>
        <w:t xml:space="preserve">L</w:t>
      </w:r>
      <w:bookmarkStart w:name="sec_1_1" w:id="1"/>
      <w:r>
        <w:rPr>
          <w:b w:val="false"/>
          <w:bCs w:val="false"/>
          <w:i w:val="false"/>
          <w:iCs w:val="false"/>
        </w:rPr>
        <w:t xml:space="preserve">egal and regulatory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Attachment: EMC certificates</w:t>
            </w:r>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the Proposer's own Environmental and Social Management Plan accompanies the proposal. Rejected and defective cards, which carry personal data, are destroyed by cross-cut shredding under dual custody, with a destruction certificate for every batch.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bl>
    <w:p>
      <w:pPr>
        <w:spacing w:after="140"/>
      </w:pPr>
    </w:p>
    <w:p>
      <w:pPr>
        <w:pStyle w:val="Heading2"/>
        <w:numPr>
          <w:ilvl w:val="1"/>
          <w:numId w:val="2"/>
        </w:numPr>
        <w:spacing w:after="140" w:before="260"/>
      </w:pPr>
      <w:r>
        <w:t xml:space="preserve">B</w:t>
      </w:r>
      <w:bookmarkStart w:name="sec_1_2" w:id="1"/>
      <w:r>
        <w:rPr>
          <w:b w:val="false"/>
          <w:bCs w:val="false"/>
          <w:i w:val="false"/>
          <w:iCs w:val="false"/>
        </w:rPr>
        <w:t xml:space="preserve">usiness function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are delivered by a CIRA-registered rehabilitation contractor, as Addendum No. 2 requires, supervised by the Supplier under its single-point accountability. A reconnaissance of the premises has identified the gaps, and the preliminary drawings and bill of quantities quantify the materials, equipment and works. As clarified in the Responses to Queries 003 and 04, new power, HVAC, fire, physical security and secure areas are designed without reliance on existing infrastructure, to the ICT Site Preparation Guide issued in week 4, with works in weeks 7 to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r>
              <w:rPr>
                <w:b w:val="false"/>
                <w:bCs w:val="false"/>
                <w:i w:val="false"/>
                <w:iCs w:val="false"/>
              </w:rPr>
              <w:t xml:space="preserve">; Attachment: CIRA registration certificate;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tested to ISO/IEC 7810, ISO/IEC 10373-1 and ISO/IEC 24789. Card-body features include guilloche, OVMI, UV, photonic crystal and thermochromic ink; laser personalization adds a grayscale portrait, CLI, micro-text, tactile relief and a signed QR code.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quot;">
              <w:r>
                <w:rPr>
                  <w:rStyle w:val="Hyperlink"/>
                  <w:b w:val="false"/>
                  <w:bCs w:val="false"/>
                  <w:i w:val="false"/>
                  <w:iCs w:val="false"/>
                </w:rPr>
                <w:t xml:space="preserve">4</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 laboratory test reports</w:t>
            </w:r>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Attachment: S8000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affixes one to four cards per carrier, re-reads card and carrier together, and takes job data live from the Mailing and Dispatch Management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Attachment: MS1000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provides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MS1000 mailing system datasheet; Attachment: Software list with license texts</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delivers the facility turnkey as a single point of accountability: the equipment, two million cards, application software, ICT infrastructure at the primary and secondary sites, NRIS integration and the facility works,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p>
        </w:tc>
      </w:tr>
    </w:tbl>
    <w:p>
      <w:pPr>
        <w:spacing w:after="140"/>
      </w:pPr>
    </w:p>
    <w:p>
      <w:pPr>
        <w:pStyle w:val="Heading2"/>
        <w:numPr>
          <w:ilvl w:val="1"/>
          <w:numId w:val="2"/>
        </w:numPr>
        <w:spacing w:after="140" w:before="260"/>
      </w:pPr>
      <w:r>
        <w:t xml:space="preserve">A</w:t>
      </w:r>
      <w:bookmarkStart w:name="sec_1_3" w:id="1"/>
      <w:r>
        <w:rPr>
          <w:b w:val="false"/>
          <w:bCs w:val="false"/>
          <w:i w:val="false"/>
          <w:iCs w:val="false"/>
        </w:rPr>
        <w:t xml:space="preserve">rchitectural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19"/>
        <w:gridCol w:w="2001"/>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1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6_1&quot;">
              <w:r>
                <w:rPr>
                  <w:rStyle w:val="Hyperlink"/>
                  <w:b w:val="false"/>
                  <w:bCs w:val="false"/>
                  <w:i w:val="false"/>
                  <w:iCs w:val="false"/>
                </w:rPr>
                <w:t xml:space="preserve">6.1</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1&quot;">
              <w:r>
                <w:rPr>
                  <w:rStyle w:val="Hyperlink"/>
                  <w:b w:val="false"/>
                  <w:bCs w:val="false"/>
                  <w:i w:val="false"/>
                  <w:iCs w:val="false"/>
                </w:rPr>
                <w:t xml:space="preserve">10.1</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6&quot;">
              <w:r>
                <w:rPr>
                  <w:rStyle w:val="Hyperlink"/>
                  <w:b w:val="false"/>
                  <w:bCs w:val="false"/>
                  <w:i w:val="false"/>
                  <w:iCs w:val="false"/>
                </w:rPr>
                <w:t xml:space="preserve">6.6</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the Supplier engages the operator and connects its tracking service through a configured interface.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Two active application servers are load balanced across a two-host failover cluster, and the database runs as a two-node high availability cluster,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each with two 24-core processors and 256 GB, in application and database clusters on a dual-controller RAID 6 array of not less than 20 TB usable after RAID; redundant layer 3 core switches; a high availability firewall pair; one HSM at each site; and an encrypted backup repository and 40 TB of immutable backup storage at each site. The secondary site runs one standalone server on internal storage. Secure boot applies throughout, and capacity grows by adding drives.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Two modular fiber laser systems mark both faces in one pass, with grayscale, QR and CLI. As clarified in the Response to Clarifications 001, 2,000 cards per hour is the combined rate, at least 1,000 per machine. Each station marks a whole card alone and can leave service without stopping the line, as tested at factory acceptance.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an integrated laser cooling system, an air compressor for pneumatic handling, a 600-card stacker and an industrial control PC running the machine software.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affix one to four cards, verify card and carrier by 1D, 2D or QR code, fold, insert and seal. Reject magazines, buffer modules and destination sorting are included. As clarified in the Clarifications to Queries 005, combined capacity is 2,000 single-card mailers per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Attachment: MS1000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the Supplier equips the existing NRB disaster recovery site in Blantyre with a secondary environment, operational at Operational Acceptance, holding on one standalone server a replicated database within 5 minutes of the primary and standby virtual machines, with a replicated HSM and encrypted, immutable offsite backup copies, linked over an encrypted tunnel.</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facility works provide uninterruptible power supply, a 50 kVA standby generator in its own housing, a main control board combining the utility, generator and UPS supplies with automatic transfer, rack power distribution units and grounding; air conditioning with humidity control, precision cooling, air filtration and environmental monitoring linked to alerting; and ZKTeco biometric access control, Hikvision closed circuit television, intrusion detection and clean agent fire suppression. As clarified in the Responses to Queries 003 and 04, none relies on existing site infrastructure, and the Purchaser supplies a separate, dedicated power connection to the approved design.</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Facility works bill of quantities</w:t>
            </w:r>
          </w:p>
        </w:tc>
      </w:tr>
      <w:tr>
        <w:tc>
          <w:tcPr>
            <w:tcW w:type="dxa" w:w="2000"/>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six zones are among ten segregated zones, each its own VLAN, which add the User Network, Management Network, Storage Zone and Backup Zone; the Management zone is the Management and Monitoring Zone. Traffic between zones is routed only through the next generation firewall pair under zone policy and intrusion prevention, and the Storage Zone is not routed. The DMZ is provisioned with policy and addressing but carries no service at go-live, and the machine lines connect through the edge switch stack on Machine Control Zone ports, reached only through the firewall pair.</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000"/>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bl>
    <w:p>
      <w:pPr>
        <w:spacing w:after="140"/>
      </w:pPr>
    </w:p>
    <w:p>
      <w:pPr>
        <w:pStyle w:val="Heading2"/>
        <w:numPr>
          <w:ilvl w:val="1"/>
          <w:numId w:val="2"/>
        </w:numPr>
        <w:spacing w:after="140" w:before="260"/>
      </w:pPr>
      <w:r>
        <w:t xml:space="preserve">S</w:t>
      </w:r>
      <w:bookmarkStart w:name="sec_1_4" w:id="1"/>
      <w:r>
        <w:rPr>
          <w:b w:val="false"/>
          <w:bCs w:val="false"/>
          <w:i w:val="false"/>
          <w:iCs w:val="false"/>
        </w:rPr>
        <w:t xml:space="preserve">ystems administration and management functions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Change Management and Configuration Governance Plan </w:t>
            </w:r>
            <w:r>
              <w:rPr>
                <w:b w:val="false"/>
                <w:bCs w:val="false"/>
                <w:i w:val="false"/>
                <w:iCs w:val="false"/>
              </w:rPr>
              <w:t xml:space="preserve">Sections 4</w:t>
            </w:r>
            <w:r>
              <w:rPr>
                <w:b w:val="false"/>
                <w:bCs w:val="false"/>
                <w:i w:val="false"/>
                <w:iCs w:val="false"/>
              </w:rPr>
              <w:t xml:space="preserve"> to 14</w:t>
            </w:r>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Cybersecurity-Risk-Management-Plan.docx&quot; \l &quot;sec_7_2&quot;">
              <w:r>
                <w:rPr>
                  <w:rStyle w:val="Hyperlink"/>
                  <w:b w:val="false"/>
                  <w:bCs w:val="false"/>
                  <w:i w:val="false"/>
                  <w:iCs w:val="false"/>
                </w:rPr>
                <w:t xml:space="preserve">7.2</w:t>
              </w:r>
            </w:fldSimple>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Veeam Backup &amp; Replication manages scheduled, encrypted, verified full, incremental and differential database, configuration, application and audit log backups, which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bl>
    <w:p>
      <w:pPr>
        <w:spacing w:after="140"/>
      </w:pPr>
    </w:p>
    <w:p>
      <w:pPr>
        <w:pStyle w:val="Heading2"/>
        <w:numPr>
          <w:ilvl w:val="1"/>
          <w:numId w:val="2"/>
        </w:numPr>
        <w:spacing w:after="140" w:before="260"/>
      </w:pPr>
      <w:r>
        <w:t xml:space="preserve">P</w:t>
      </w:r>
      <w:bookmarkStart w:name="sec_1_5" w:id="1"/>
      <w:r>
        <w:rPr>
          <w:b w:val="false"/>
          <w:bCs w:val="false"/>
          <w:i w:val="false"/>
          <w:iCs w:val="false"/>
        </w:rPr>
        <w:t xml:space="preserve">erformance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Supplier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twice and matched to its carrier by identifier, then inserted, sealed and sorted by destination in line, and matched capacity with buffer modules prevents backlog.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MS1000 card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3&quot;">
              <w:r>
                <w:rPr>
                  <w:rStyle w:val="Hyperlink"/>
                  <w:b w:val="false"/>
                  <w:bCs w:val="false"/>
                  <w:i w:val="false"/>
                  <w:iCs w:val="false"/>
                </w:rPr>
                <w:t xml:space="preserve">11.3</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across two active application servers kept on different hosts.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6&quot;">
              <w:r>
                <w:rPr>
                  <w:rStyle w:val="Hyperlink"/>
                  <w:b w:val="false"/>
                  <w:bCs w:val="false"/>
                  <w:i w:val="false"/>
                  <w:iCs w:val="false"/>
                </w:rPr>
                <w:t xml:space="preserve">7.6</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Change Management and Configuration Governance Plan </w:t>
            </w:r>
            <w:r>
              <w:rPr>
                <w:b w:val="false"/>
                <w:bCs w:val="false"/>
                <w:i w:val="false"/>
                <w:iCs w:val="false"/>
              </w:rPr>
              <w:t xml:space="preserve">Section 9</w:t>
            </w:r>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C</w:t>
      </w:r>
      <w:bookmarkStart w:name="sec_1_6" w:id="1"/>
      <w:r>
        <w:rPr>
          <w:b w:val="false"/>
          <w:bCs w:val="false"/>
          <w:i w:val="false"/>
          <w:iCs w:val="false"/>
        </w:rPr>
        <w:t xml:space="preserve">yber security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three domain controllers, two at the primary site and one at the secondary site,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3_2&quot;">
              <w:r>
                <w:rPr>
                  <w:rStyle w:val="Hyperlink"/>
                  <w:b w:val="false"/>
                  <w:bCs w:val="false"/>
                  <w:i w:val="false"/>
                  <w:iCs w:val="false"/>
                </w:rPr>
                <w:t xml:space="preserve">3.2</w:t>
              </w:r>
            </w:fldSimple>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Supplier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Cybersecurity-Risk-Management-Plan.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in a backup repository and on not less than 40 TB of immutable storage at each site,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information security management system of Inkript, the joint venture member responsible for the Information System, is certified to ISO/IEC 27001, and, as the Responses to Queries 003 require, each team member holds the certifications for the role, including CISSP, CISM and CEH for the Cybersecurity and PKI Specialist, CCNA and CCNP for the Network Engineer, and CREST or equivalent accreditation for the independent penetration tester.</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Inkript ISO/IEC 27001 certificate; Attachment: Key personnel Candidate Summaries and CVs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the joint venture member responsible for the Information System, is certified to ISO/IEC 27001, the mandatory certification, maintained throughout the Contract, and to ISO 9001, with copies of both certificates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Inkript ISO/IEC 27001 certificate; Attachment: Inkript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3_2&quot;">
              <w:r>
                <w:rPr>
                  <w:rStyle w:val="Hyperlink"/>
                  <w:b w:val="false"/>
                  <w:bCs w:val="false"/>
                  <w:i w:val="false"/>
                  <w:iCs w:val="false"/>
                </w:rPr>
                <w:t xml:space="preserve">3.2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the Responses to Queries 04 and the Clarifications to Queries 005. Signature formats align with eIDAS digital signature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Supplier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p>
        </w:tc>
      </w:tr>
    </w:tbl>
    <w:p>
      <w:pPr>
        <w:pStyle w:val="Heading1"/>
        <w:pageBreakBefore/>
        <w:numPr>
          <w:ilvl w:val="0"/>
          <w:numId w:val="2"/>
        </w:numPr>
        <w:spacing w:after="140" w:before="240"/>
      </w:pPr>
      <w:r>
        <w:t xml:space="preserve">S</w:t>
      </w:r>
      <w:bookmarkStart w:name="sec_2" w:id="1"/>
      <w:r>
        <w:rPr>
          <w:b w:val="false"/>
          <w:bCs w:val="false"/>
          <w:i w:val="false"/>
          <w:iCs w:val="false"/>
        </w:rPr>
        <w:t xml:space="preserve">ervice Specifications, Supply and Install Items</w:t>
      </w:r>
      <w:bookmarkEnd w:id="1"/>
    </w:p>
    <w:p>
      <w:pPr>
        <w:pStyle w:val="Heading2"/>
        <w:numPr>
          <w:ilvl w:val="1"/>
          <w:numId w:val="2"/>
        </w:numPr>
        <w:spacing w:after="140" w:before="260"/>
      </w:pPr>
      <w:r>
        <w:t xml:space="preserve">S</w:t>
      </w:r>
      <w:bookmarkStart w:name="sec_2_1" w:id="1"/>
      <w:r>
        <w:rPr>
          <w:b w:val="false"/>
          <w:bCs w:val="false"/>
          <w:i w:val="false"/>
          <w:iCs w:val="false"/>
        </w:rPr>
        <w:t xml:space="preserve">ystem integration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The Supplier accepts single-point responsibility for the integration.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quot;">
              <w:r>
                <w:rPr>
                  <w:rStyle w:val="Hyperlink"/>
                  <w:b w:val="false"/>
                  <w:bCs w:val="false"/>
                  <w:i w:val="false"/>
                  <w:iCs w:val="false"/>
                </w:rPr>
                <w:t xml:space="preserve">7.1</w:t>
              </w:r>
            </w:fldSimple>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Supplier designs each interface in an Interface Control Document and develops, tests and deploys its production side over REST APIs, SOAP web services, secure file transfer, message queues and middleware, or database integration. As clarified in the Responses to Queries 003 and the Clarifications to Queries 005, NRB developers build the NRIS side and the Purchaser provides its API.</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the Clarifications to Queries 005, the main route is the NRIS API the Purchaser provides.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6&quot;">
              <w:r>
                <w:rPr>
                  <w:rStyle w:val="Hyperlink"/>
                  <w:b w:val="false"/>
                  <w:bCs w:val="false"/>
                  <w:i w:val="false"/>
                  <w:iCs w:val="false"/>
                </w:rPr>
                <w:t xml:space="preserve">7.6</w:t>
              </w:r>
            </w:fldSimple>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the Clarifications to Queries 005, the secondary environment is provisioned at the existing NRB disaster recovery site in Blantyre.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7&quot;">
              <w:r>
                <w:rPr>
                  <w:rStyle w:val="Hyperlink"/>
                  <w:b w:val="false"/>
                  <w:bCs w:val="false"/>
                  <w:i w:val="false"/>
                  <w:iCs w:val="false"/>
                </w:rPr>
                <w:t xml:space="preserve">7.7</w:t>
              </w:r>
            </w:fldSimple>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Document-5-Technical-Proposal-System-Architecture.docx&quot; \l &quot;sec_7_10&quot;">
              <w:r>
                <w:rPr>
                  <w:rStyle w:val="Hyperlink"/>
                  <w:b w:val="false"/>
                  <w:bCs w:val="false"/>
                  <w:i w:val="false"/>
                  <w:iCs w:val="false"/>
                </w:rPr>
                <w:t xml:space="preserve">7.10</w:t>
              </w:r>
            </w:fldSimple>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the Clarifications to Queries 005, the Supplier engages the postal operator and connects the System to its tracking service.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6_2&quot;">
              <w:r>
                <w:rPr>
                  <w:rStyle w:val="Hyperlink"/>
                  <w:b w:val="false"/>
                  <w:bCs w:val="false"/>
                  <w:i w:val="false"/>
                  <w:iCs w:val="false"/>
                </w:rPr>
                <w:t xml:space="preserve">6.2</w:t>
              </w:r>
            </w:fldSimple>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bl>
    <w:p>
      <w:pPr>
        <w:spacing w:after="140"/>
      </w:pPr>
    </w:p>
    <w:p>
      <w:pPr>
        <w:pStyle w:val="Heading2"/>
        <w:numPr>
          <w:ilvl w:val="1"/>
          <w:numId w:val="2"/>
        </w:numPr>
        <w:spacing w:after="140" w:before="260"/>
      </w:pPr>
      <w:r>
        <w:t xml:space="preserve">T</w:t>
      </w:r>
      <w:bookmarkStart w:name="sec_2_2" w:id="1"/>
      <w:r>
        <w:rPr>
          <w:b w:val="false"/>
          <w:bCs w:val="false"/>
          <w:i w:val="false"/>
          <w:iCs w:val="false"/>
        </w:rPr>
        <w:t xml:space="preserve">raining and training materials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59"/>
        <w:gridCol w:w="4862"/>
        <w:gridCol w:w="1999"/>
      </w:tblGrid>
      <w:tr>
        <w:trPr>
          <w:tblHeader/>
        </w:trPr>
        <w:tc>
          <w:tcPr>
            <w:tcW w:type="dxa" w:w="215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862"/>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59"/>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the Supplier recommends 24 user trainees against a minimum of 16 to staff two shifts, with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The Supplier recommends 15 technical trainees against a minimum of nine, so that no technical role rests on one trained person, with stated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1&quot;">
              <w:r>
                <w:rPr>
                  <w:rStyle w:val="Hyperlink"/>
                  <w:b w:val="false"/>
                  <w:bCs w:val="false"/>
                  <w:i w:val="false"/>
                  <w:iCs w:val="false"/>
                </w:rPr>
                <w:t xml:space="preserve">6.11</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bl>
    <w:p>
      <w:pPr>
        <w:spacing w:after="140"/>
      </w:pPr>
    </w:p>
    <w:p>
      <w:pPr>
        <w:pStyle w:val="Heading2"/>
        <w:numPr>
          <w:ilvl w:val="1"/>
          <w:numId w:val="2"/>
        </w:numPr>
        <w:spacing w:after="140" w:before="260"/>
      </w:pPr>
      <w:r>
        <w:t xml:space="preserve">D</w:t>
      </w:r>
      <w:bookmarkStart w:name="sec_2_3" w:id="1"/>
      <w:r>
        <w:rPr>
          <w:b w:val="false"/>
          <w:bCs w:val="false"/>
          <w:i w:val="false"/>
          <w:iCs w:val="false"/>
        </w:rPr>
        <w:t xml:space="preserve">ocumentation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9"/>
        <w:gridCol w:w="4931"/>
        <w:gridCol w:w="2000"/>
      </w:tblGrid>
      <w:tr>
        <w:trPr>
          <w:tblHeader/>
        </w:trPr>
        <w:tc>
          <w:tcPr>
            <w:tcW w:type="dxa" w:w="208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3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89"/>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9"/>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089"/>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089"/>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9"/>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2&quot;">
              <w:r>
                <w:rPr>
                  <w:rStyle w:val="Hyperlink"/>
                  <w:b w:val="false"/>
                  <w:bCs w:val="false"/>
                  <w:i w:val="false"/>
                  <w:iCs w:val="false"/>
                </w:rPr>
                <w:t xml:space="preserve">8.2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89"/>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089"/>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4&quot;">
              <w:r>
                <w:rPr>
                  <w:rStyle w:val="Hyperlink"/>
                  <w:b w:val="false"/>
                  <w:bCs w:val="false"/>
                  <w:i w:val="false"/>
                  <w:iCs w:val="false"/>
                </w:rPr>
                <w:t xml:space="preserve">6.14</w:t>
              </w:r>
            </w:fldSimple>
          </w:p>
        </w:tc>
      </w:tr>
      <w:tr>
        <w:tc>
          <w:tcPr>
            <w:tcW w:type="dxa" w:w="2089"/>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89"/>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89"/>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p>
        </w:tc>
      </w:tr>
      <w:tr>
        <w:tc>
          <w:tcPr>
            <w:tcW w:type="dxa" w:w="2089"/>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89"/>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1&quot;">
              <w:r>
                <w:rPr>
                  <w:rStyle w:val="Hyperlink"/>
                  <w:b w:val="false"/>
                  <w:bCs w:val="false"/>
                  <w:i w:val="false"/>
                  <w:iCs w:val="false"/>
                </w:rPr>
                <w:t xml:space="preserve">9.1</w:t>
              </w:r>
            </w:fldSimple>
          </w:p>
        </w:tc>
      </w:tr>
      <w:tr>
        <w:tc>
          <w:tcPr>
            <w:tcW w:type="dxa" w:w="2089"/>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89"/>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9"/>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and </w:t>
            </w:r>
            <w:fldSimple w:instr="HYPERLINK &quot;Document-5-Technical-Proposal-System-Architecture.docx&quot; \l &quot;sec_12_5&quot;">
              <w:r>
                <w:rPr>
                  <w:rStyle w:val="Hyperlink"/>
                  <w:b w:val="false"/>
                  <w:bCs w:val="false"/>
                  <w:i w:val="false"/>
                  <w:iCs w:val="false"/>
                </w:rPr>
                <w:t xml:space="preserve">12.5</w:t>
              </w:r>
            </w:fldSimple>
          </w:p>
        </w:tc>
      </w:tr>
      <w:tr>
        <w:tc>
          <w:tcPr>
            <w:tcW w:type="dxa" w:w="2089"/>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Preliminary drawings of the proposed facility are attached, and detailed shop drawings are submitted to the Purchaser for approval before the works start. Electrical drawings, UPS configuration, generator integration, HVAC, fire suppression, access control, CCTV, structured cabling, raised floor and environmental monitoring documentation are delivered with the facility works, in as-built form at handover.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preliminary drawings</w:t>
            </w:r>
          </w:p>
        </w:tc>
      </w:tr>
      <w:tr>
        <w:tc>
          <w:tcPr>
            <w:tcW w:type="dxa" w:w="2089"/>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4931"/>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and ISO 9001 certificates and the card manufacturer's ISO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Inkript ISO/IEC 27001 and ISO 9001 certificates; Attachment: Card manufacturer ISO 9001, ISO 27001 and ISO 14001 certificates</w:t>
            </w:r>
          </w:p>
        </w:tc>
      </w:tr>
    </w:tbl>
    <w:p>
      <w:pPr>
        <w:spacing w:after="140"/>
      </w:pPr>
    </w:p>
    <w:p>
      <w:pPr>
        <w:pStyle w:val="Heading2"/>
        <w:numPr>
          <w:ilvl w:val="1"/>
          <w:numId w:val="2"/>
        </w:numPr>
        <w:spacing w:after="140" w:before="260"/>
      </w:pPr>
      <w:r>
        <w:t xml:space="preserve">R</w:t>
      </w:r>
      <w:bookmarkStart w:name="sec_2_4"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Solution Architect leads security architecture and design, assesses the impact of technical changes and approves medium and high-risk changes as technical lead. The nominee holds a Bachelor's degree in a listed field, at least five years in solution architecture, systems integration, interoperability and technical assurance, and TOGAF and solutions architecture certification.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Sections 4 and 8</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Sections 2 and 4</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at least seven years in cybersecurity including three in identity management or PKI, CISSP, CISM and CEH, and experience with hardware security modules, encryption and certificates, and leads governance, key management and incident response.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and delivers quality assurance and security feature inspection training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Software Integration Specialist holds a degree in computer science, software engineering or information systems, certifications in APIs, middleware and web services, and at least five years in enterprise systems integration, and is responsible for the NRIS interface, secure development, interface security and software releases.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 10</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Training and Change Management Specialist holds a degree in ICT, education or human resource development, trainer and change management certifications, Prosci preferred, and at least five years delivering ICT training to government staff, operators and administrators, and leads the training program, including the training needs that changes to the system create.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 16</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Quality Assurance and Testing Specialist holds a degree in computer science, engineering or quality management, at least five years in enterprise ICT testing and ISTQB certification, with FAT, SAT, UAT, performance and security testing experience, and leads the security test program and requirement-to-test traceability.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and at least five years in data center and high availability systems, and is responsible for the hardened platform, clusters, storage, secondary environment, backup and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pStyle w:val="Heading1"/>
        <w:pageBreakBefore/>
        <w:numPr>
          <w:ilvl w:val="0"/>
          <w:numId w:val="2"/>
        </w:numPr>
        <w:spacing w:after="140" w:before="240"/>
      </w:pPr>
      <w:r>
        <w:t xml:space="preserve">T</w:t>
      </w:r>
      <w:bookmarkStart w:name="sec_3" w:id="1"/>
      <w:r>
        <w:rPr>
          <w:b w:val="false"/>
          <w:bCs w:val="false"/>
          <w:i w:val="false"/>
          <w:iCs w:val="false"/>
        </w:rPr>
        <w:t xml:space="preserve">echnology Specifications, Supply and Install Items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74"/>
        <w:gridCol w:w="5146"/>
        <w:gridCol w:w="2000"/>
      </w:tblGrid>
      <w:tr>
        <w:trPr>
          <w:tblHeader/>
        </w:trPr>
        <w:tc>
          <w:tcPr>
            <w:tcW w:type="dxa" w:w="1874"/>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46"/>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74"/>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1874"/>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r>
        <w:tc>
          <w:tcPr>
            <w:tcW w:type="dxa" w:w="1874"/>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Laser personalization system datasheet</w:t>
            </w:r>
          </w:p>
        </w:tc>
      </w:tr>
      <w:tr>
        <w:tc>
          <w:tcPr>
            <w:tcW w:type="dxa" w:w="1874"/>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874"/>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and copies of the emission certificates are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 Attachment: EMC certification</w:t>
            </w:r>
          </w:p>
        </w:tc>
      </w:tr>
    </w:tbl>
    <w:p>
      <w:pPr>
        <w:spacing w:after="140"/>
      </w:pPr>
    </w:p>
    <w:p>
      <w:pPr>
        <w:pStyle w:val="Heading2"/>
        <w:numPr>
          <w:ilvl w:val="1"/>
          <w:numId w:val="2"/>
        </w:numPr>
        <w:spacing w:after="140" w:before="260"/>
      </w:pPr>
      <w:r>
        <w:t xml:space="preserve">A</w:t>
      </w:r>
      <w:bookmarkStart w:name="sec_3_1" w:id="1"/>
      <w:r>
        <w:rPr>
          <w:b w:val="false"/>
          <w:bCs w:val="false"/>
          <w:i w:val="false"/>
          <w:iCs w:val="false"/>
        </w:rPr>
        <w:t xml:space="preserve">utomatic modular laser personalization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and </w:t>
            </w:r>
            <w:fldSimple w:instr="HYPERLINK &quot;Document-5-Technical-Proposal-System-Architecture.docx&quot; \l &quot;sec_6_6&quot;">
              <w:r>
                <w:rPr>
                  <w:rStyle w:val="Hyperlink"/>
                  <w:b w:val="false"/>
                  <w:bCs w:val="false"/>
                  <w:i w:val="false"/>
                  <w:iCs w:val="false"/>
                </w:rPr>
                <w:t xml:space="preserve">6.6</w:t>
              </w:r>
            </w:fldSimple>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P</w:t>
      </w:r>
      <w:bookmarkStart w:name="sec_3_2" w:id="1"/>
      <w:r>
        <w:rPr>
          <w:b w:val="false"/>
          <w:bCs w:val="false"/>
          <w:i w:val="false"/>
          <w:iCs w:val="false"/>
        </w:rPr>
        <w:t xml:space="preserve">ersonalization laser features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6_3&quot;">
              <w:r>
                <w:rPr>
                  <w:rStyle w:val="Hyperlink"/>
                  <w:b w:val="false"/>
                  <w:bCs w:val="false"/>
                  <w:i w:val="false"/>
                  <w:iCs w:val="false"/>
                </w:rPr>
                <w:t xml:space="preserve">6.3</w:t>
              </w:r>
            </w:fldSimple>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 integrated cooling system in each machine maintains laser operating temperature under continuous industrial duty, and the machines are rated for 24/7 operation. Cooling is serviced at the manufacturer's preventive maintenance intervals.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cooling system are fully integrated into the personalization machine rather than assembled from separate units, and operate as a single system under synchronized workflow control.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integrated laser station receives the full card layout and the full data record for its card, and completes all marking on both faces without depending on any other 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Any laser station can be switched on, switched off or removed for maintenance while the line runs, and the workflow routes cards only to available stations. All stations are calibrated to identical quality, so output is unaffected, and this is demonstrated at factory acceptance by taking a station out during a run.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System Architecture describes each component.</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w:t>
            </w: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up to four per machine. Wavelength, expected operational lifespan and maintenance intervals are stated in the Laser Engraving Unit Details submitted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Engraving Unit Details;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includes an air compressor system for pneumatic transport and handling. Air pressure, flow rate and compressor specifications are set out in the dedicated Power and Air Pressure Requirements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w:t>
            </w: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bl>
    <w:p>
      <w:pPr>
        <w:spacing w:after="140"/>
      </w:pPr>
    </w:p>
    <w:p>
      <w:pPr>
        <w:pStyle w:val="Heading2"/>
        <w:numPr>
          <w:ilvl w:val="1"/>
          <w:numId w:val="2"/>
        </w:numPr>
        <w:spacing w:after="140" w:before="260"/>
      </w:pPr>
      <w:r>
        <w:t xml:space="preserve">A</w:t>
      </w:r>
      <w:bookmarkStart w:name="sec_3_3" w:id="1"/>
      <w:r>
        <w:rPr>
          <w:b w:val="false"/>
          <w:bCs w:val="false"/>
          <w:i w:val="false"/>
          <w:iCs w:val="false"/>
        </w:rPr>
        <w:t xml:space="preserve">utomated mailing and dispatch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cards are affixed and the match is verified,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verification station reads 1D, 2D and QR codes, and this is tested at factory acceptance. Each card is read twice against the job record, before its carrier is printed and again with its carrier after affixing, and any mismatch is diverted to the reject magazine instead of being inserted.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1&quot;">
              <w:r>
                <w:rPr>
                  <w:rStyle w:val="Hyperlink"/>
                  <w:b w:val="false"/>
                  <w:bCs w:val="false"/>
                  <w:i w:val="false"/>
                  <w:iCs w:val="false"/>
                </w:rPr>
                <w:t xml:space="preserve">5.1</w:t>
              </w:r>
            </w:fldSimple>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the Supplier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the Supplier engages the operator that delivers the cards and connects the System to its tracking service.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bl>
    <w:p>
      <w:pPr>
        <w:spacing w:after="140"/>
      </w:pPr>
    </w:p>
    <w:p>
      <w:pPr>
        <w:pStyle w:val="Heading2"/>
        <w:numPr>
          <w:ilvl w:val="1"/>
          <w:numId w:val="2"/>
        </w:numPr>
        <w:spacing w:after="140" w:before="260"/>
      </w:pPr>
      <w:r>
        <w:t xml:space="preserve">P</w:t>
      </w:r>
      <w:bookmarkStart w:name="sec_3_4" w:id="1"/>
      <w:r>
        <w:rPr>
          <w:b w:val="false"/>
          <w:bCs w:val="false"/>
          <w:i w:val="false"/>
          <w:iCs w:val="false"/>
        </w:rPr>
        <w:t xml:space="preserve">olycarbonate cards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complies with ISO/IEC 7810, ISO/IEC 10373-1, ISO/IEC 24789-1 and ISO/IEC 24789-2.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Construction confirmation; Attachment: Card manufacturer laboratory test reports</w:t>
            </w:r>
          </w:p>
        </w:tc>
      </w:tr>
      <w:tr>
        <w:tc>
          <w:tcPr>
            <w:tcW w:type="dxa" w:w="2000"/>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Attachment: Sample card images;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3&quot;">
              <w:r>
                <w:rPr>
                  <w:rStyle w:val="Hyperlink"/>
                  <w:b w:val="false"/>
                  <w:bCs w:val="false"/>
                  <w:i w:val="false"/>
                  <w:iCs w:val="false"/>
                </w:rPr>
                <w:t xml:space="preserve">4.3</w:t>
              </w:r>
            </w:fldSimple>
            <w:r>
              <w:rPr>
                <w:b w:val="false"/>
                <w:bCs w:val="false"/>
                <w:i w:val="false"/>
                <w:iCs w:val="false"/>
              </w:rPr>
              <w:t xml:space="preserve">;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5&quot;">
              <w:r>
                <w:rPr>
                  <w:rStyle w:val="Hyperlink"/>
                  <w:b w:val="false"/>
                  <w:bCs w:val="false"/>
                  <w:i w:val="false"/>
                  <w:iCs w:val="false"/>
                </w:rPr>
                <w:t xml:space="preserve">4.5</w:t>
              </w:r>
            </w:fldSimple>
          </w:p>
        </w:tc>
      </w:tr>
      <w:tr>
        <w:tc>
          <w:tcPr>
            <w:tcW w:type="dxa" w:w="2000"/>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Sample card images</w:t>
            </w:r>
          </w:p>
        </w:tc>
      </w:tr>
      <w:tr>
        <w:tc>
          <w:tcPr>
            <w:tcW w:type="dxa" w:w="2000"/>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not fewer than two laboratory test reports are provided, dated within three years, from an independent international laboratory holding ISO/IEC 17025 accreditation, covering all fourteen named tests against ISO/IEC 7810, ISO/IEC 10373-1 and ISO/IEC 24789. Supplier-provided testing is on cards of six or more fully fused layers without adhesives.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 laboratory test reports</w:t>
            </w:r>
          </w:p>
        </w:tc>
      </w:tr>
    </w:tbl>
    <w:p>
      <w:pPr>
        <w:spacing w:after="140"/>
      </w:pPr>
    </w:p>
    <w:p>
      <w:pPr>
        <w:pStyle w:val="Heading2"/>
        <w:numPr>
          <w:ilvl w:val="1"/>
          <w:numId w:val="2"/>
        </w:numPr>
        <w:spacing w:after="140" w:before="260"/>
      </w:pPr>
      <w:r>
        <w:t xml:space="preserve">R</w:t>
      </w:r>
      <w:bookmarkStart w:name="sec_3_5" w:id="1"/>
      <w:r>
        <w:rPr>
          <w:b w:val="false"/>
          <w:bCs w:val="false"/>
          <w:i w:val="false"/>
          <w:iCs w:val="false"/>
        </w:rPr>
        <w:t xml:space="preserve">enovation of premises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renovates the designated ground floor area into a secure, production-ready facility for both personalization lines and both mailing lines, to the attached preliminary drawings, delivered under the facility works by a CIRA-registered rehabilitation contractor in weeks 7 to 18. As clarified in the Responses to Queries 04, the design relies on no existing electrical, HVAC, ICT or security infrastructure.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CIRA registration certificate;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cover renovation, refurbishment, fit-out, supply, installation, testing, commissioning and handover of the facility systems, quantified in the attached bill of quantities and scheduled as phase 4 of the implementation plan. They are coordinated with the Information System through the ICT Site Preparation Guide, a readiness inspection in week 18 and building-level checks in pre-commissioning.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reconnaissance of the premises was carried out during proposal preparation, and the preliminary drawings are attached. After award, the detailed site survey verifies dimensions, existing infrastructure, structural suitability, electrical load capacity and environmental conditions and identifies the renovation requirements, leading to the implementation drawings and designs, with the ICT Site Preparation Guide setting loads, power, heat and clearances. As clarified in the Responses to Queries 003, NRB coordinates Buildings Department approval of the structural and electrical designs.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carry out partitioning, wall finishing and painting, soundproofing, ceiling and floor finishing, anti-static and raised flooring where required, door installation and replacement, and window reinforcement, to the approved room layout and as quantified in the attached bill of quantities. Raised floor records are delivered with the facility documentation.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attached preliminary drawings provide every listed area: separated secure areas for card personalization, blank card storage sized for all 2,000,000 cards, consumables storage, quality assurance, secure destruction, packaging and mailing, the server room, the control room and operator workspaces, so that stock reconciliation rests on physically controlled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install burglar-proofing, reinforced doors under biometric access control, secure locks, lockable security cages and secure storage installations for the blank card store and the destruction area, and an anti-bandit door to the server room. Every opening is logged and correlated with system activity.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new electrical installation provides rewiring, dedicated circuits, distribution boards, protection, isolators and breakers, earthing, lightning protection, outlets, cable management and emergency lighting, backed by uninterruptible power supply and a 50 kVA standby generator with automatic transfer. As clarified in the Responses to Queries 04, NRB supplies a separate, dedicated power connection to the approved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Structured LAN cabling, fiber where required, network cabinets and racks with rack power distribution, patch panels, cable trays and conduits, network outlets and labeling are installed to the approved room layout and quantified in the attached bill of quantities, with data center rack arrangements in the server room. Cable management and labeling are verified in pre-commissioning.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the ISO/IEC 11801 and ANSI/TIA-568 structured cabling standards, and the cabling records are delivered with the facility documentation. Connectivity, throughput and redundancy are verified in the network infrastructure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ZKTeco biometric access control system, with smart card credentials, enforces role-based access zones for the server room, production area and secure stores, and every entry, including escorted visitors, is logged. Access events feed security monitoring, so a privileged session opened from a room no authorized person has entered raises an alert.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Hikvision closed circuit television system, with internal and external cameras covering the production area, secure stores, server room and perimeter, records to a video recording system with centralized monitoring and long-term storage under a defined retention period.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ZKTeco intrusion detection system with motion sensors, door sensors, alarms and panic alarms is installed across the facility, and its alarm events feed the security information and event management system for correlation with system events.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with smoke and heat detectors and fire alarms, covers the whole facility. Clean agent suppression protects the server room, suppression appropriate to a production area and fire extinguishers serve elsewhere, and emergency evacuation signage is installed.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alarm and suppression systems are designed, installed and tested to the fire safety standards applicable in Malawi and to recognized international standards for detection and clean agent suppression, with fire suppression records delivered with the facility documentation.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production floor is fitted out to the approved layout, with equipment positions and clearances set in the ICT Site Preparation Guide, operator workstations with ergonomic furniture, quality control and consumables handling stations, and secure waste disposal through the controlled destruction area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Renovation is carried out under the contractor's Environmental and Social Management Plan, the Waste Management Plan and the Occupational Health and Safety Plan submitted with the proposal, covering occupational health and safety standards, safe working practices, environmental compliance, segregation and disposal of construction, electronic and hazardous waste, and hazard management during the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Occupational Health and Safety Plan; Attachment: Environmental and Social Management Plan; Attachment: Waste Management Plan;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110"/>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HVAC, environmental, fire, structured cabling and physical security systems are tested and commissioned under the facility works, including load testing, and their test reports, as-built drawings and manuals are delivered at handover. The Pre-Commissioning Test Program, as amended by Addendum No. 2, then covers network and cabling, access control, production workflow simulation, performance and capacity under load, and pilot production readiness, followed by the operational acceptance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Training on facility operations and the electrical, HVAC, fire and physical security systems, their preventive maintenance and emergency procedures is delivered under the facility works, using the as-built drawings and user manuals. It complements the Information System training, which covers emergency stops and safe working at the lines and includes a facility management participant in management training.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10"/>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equipment, systems and services supplied are covered by a three-year warranty from Final Acceptance, with preventive and corrective maintenance and 24/7 support throughout. Defect liability and the workmanship and equipment warranties for the power, HVAC, fire suppression and physical security installations are provided under the facility works for the same period, backed by the manufacturers' warranty letters delivered at handover.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bl>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Requirements</w:t>
      </w:r>
      <w:bookmarkEnd w:id="1"/>
    </w:p>
    <w:p>
      <w:pPr>
        <w:pStyle w:val="Heading2"/>
        <w:numPr>
          <w:ilvl w:val="1"/>
          <w:numId w:val="2"/>
        </w:numPr>
        <w:spacing w:after="140" w:before="260"/>
      </w:pPr>
      <w:r>
        <w:t xml:space="preserve">I</w:t>
      </w:r>
      <w:bookmarkStart w:name="sec_4_1" w:id="1"/>
      <w:r>
        <w:rPr>
          <w:b w:val="false"/>
          <w:bCs w:val="false"/>
          <w:i w:val="false"/>
          <w:iCs w:val="false"/>
        </w:rPr>
        <w:t xml:space="preserve">nspections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1"/>
        <w:gridCol w:w="199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31"/>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FAT hosting confirmation</w:t>
            </w:r>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31"/>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1&quot;">
              <w:r>
                <w:rPr>
                  <w:rStyle w:val="Hyperlink"/>
                  <w:b w:val="false"/>
                  <w:bCs w:val="false"/>
                  <w:i w:val="false"/>
                  <w:iCs w:val="false"/>
                </w:rPr>
                <w:t xml:space="preserve">4.1</w:t>
              </w:r>
            </w:fldSimple>
          </w:p>
        </w:tc>
      </w:tr>
    </w:tbl>
    <w:p>
      <w:pPr>
        <w:spacing w:after="140"/>
      </w:pPr>
    </w:p>
    <w:p>
      <w:pPr>
        <w:pStyle w:val="Heading2"/>
        <w:numPr>
          <w:ilvl w:val="1"/>
          <w:numId w:val="2"/>
        </w:numPr>
        <w:spacing w:after="140" w:before="260"/>
      </w:pPr>
      <w:r>
        <w:t xml:space="preserve">P</w:t>
      </w:r>
      <w:bookmarkStart w:name="sec_4_2" w:id="1"/>
      <w:r>
        <w:rPr>
          <w:b w:val="false"/>
          <w:bCs w:val="false"/>
          <w:i w:val="false"/>
          <w:iCs w:val="false"/>
        </w:rPr>
        <w:t xml:space="preserve">re-commissioning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the electrical power tests verify the utility supply, UPS functionality, power distribution, load on the power circuits, automatic transfer between utility and generator, earthing and grounding, and voltage and frequency stability, and the results are issued as the Electrical Systems Test Report. The Information System relies on that result, and thereafter monitors power and UPS status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the environmental tests verify HVAC temperature and humidity control and airflow, smoke detector function, alarm activation, suppression system readiness and the water leakage detection sensors, and the results are issued as the Environmental Systems Readiness Report. Temperature, humidity and power readings then feed the System's monitoring and alerting, and environmental monitoring events feed security event management.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bl>
    <w:p>
      <w:pPr>
        <w:spacing w:after="140"/>
      </w:pPr>
    </w:p>
    <w:p>
      <w:pPr>
        <w:pStyle w:val="Heading2"/>
        <w:numPr>
          <w:ilvl w:val="1"/>
          <w:numId w:val="2"/>
        </w:numPr>
        <w:spacing w:after="140" w:before="260"/>
      </w:pPr>
      <w:r>
        <w:t xml:space="preserve">O</w:t>
      </w:r>
      <w:bookmarkStart w:name="sec_4_3" w:id="1"/>
      <w:r>
        <w:rPr>
          <w:b w:val="false"/>
          <w:bCs w:val="false"/>
          <w:i w:val="false"/>
          <w:iCs w:val="false"/>
        </w:rPr>
        <w:t xml:space="preserve">perational acceptance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49"/>
        <w:gridCol w:w="2001"/>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The Supplier assists the Purchaser in running the seventeen Table B tests in weeks 27 to 30, against the NRIS test environment as the Responses to Queries 003 require, so that no card produced in testing is issued to a citizen. Each is measured by a method agreed with NRB in the operational acceptance test procedures issued in week 24. Their completion is the Operational Acceptance gate in week 30, from which post-Operational Acceptance technical assistance starts.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and </w:t>
            </w:r>
            <w:fldSimple w:instr="HYPERLINK &quot;Preliminary-Project-Plan-Information-System-Sub-Plans.docx&quot; \l &quot;sec_5_1&quot;">
              <w:r>
                <w:rPr>
                  <w:rStyle w:val="Hyperlink"/>
                  <w:b w:val="false"/>
                  <w:bCs w:val="false"/>
                  <w:i w:val="false"/>
                  <w:iCs w:val="false"/>
                </w:rPr>
                <w:t xml:space="preserve">5.1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w:t>
            </w:r>
            <w:r>
              <w:rPr>
                <w:b w:val="false"/>
                <w:bCs w:val="false"/>
                <w:i w:val="false"/>
                <w:iCs w:val="false"/>
              </w:rPr>
              <w:t xml:space="preserve">System Architecture Section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no severity 1 failure. Clustered hosts, independent laser stations and two independent lines mean a component failure reduces throughput rather than stopping production.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twice against its record, the second time on its carrier after affixing, and a dispatch record is generated and stored for every mail piece.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bl>
    <w:p>
      <w:pPr>
        <w:pStyle w:val="Heading1"/>
        <w:pageBreakBefore/>
        <w:numPr>
          <w:ilvl w:val="0"/>
          <w:numId w:val="2"/>
        </w:numPr>
        <w:spacing w:after="140" w:before="240"/>
      </w:pPr>
      <w:r>
        <w:t xml:space="preserve">S</w:t>
      </w:r>
      <w:bookmarkStart w:name="sec_5" w:id="1"/>
      <w:r>
        <w:rPr>
          <w:b w:val="false"/>
          <w:bCs w:val="false"/>
          <w:i w:val="false"/>
          <w:iCs w:val="false"/>
        </w:rPr>
        <w:t xml:space="preserve">ervice Specifications, Recurrent Cost Items</w:t>
      </w:r>
      <w:bookmarkEnd w:id="1"/>
    </w:p>
    <w:p>
      <w:pPr>
        <w:pStyle w:val="Heading2"/>
        <w:numPr>
          <w:ilvl w:val="1"/>
          <w:numId w:val="2"/>
        </w:numPr>
        <w:spacing w:after="140" w:before="260"/>
      </w:pPr>
      <w:r>
        <w:t xml:space="preserve">W</w:t>
      </w:r>
      <w:bookmarkStart w:name="sec_5_1" w:id="1"/>
      <w:r>
        <w:rPr>
          <w:b w:val="false"/>
          <w:bCs w:val="false"/>
          <w:i w:val="false"/>
          <w:iCs w:val="false"/>
        </w:rPr>
        <w:t xml:space="preserve">arranty defect repair</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9"/>
        <w:gridCol w:w="5510"/>
        <w:gridCol w:w="2001"/>
      </w:tblGrid>
      <w:tr>
        <w:trPr>
          <w:tblHeader/>
        </w:trPr>
        <w:tc>
          <w:tcPr>
            <w:tcW w:type="dxa" w:w="150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509"/>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1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Manufacturer's Authorization</w:t>
            </w:r>
          </w:p>
        </w:tc>
      </w:tr>
    </w:tbl>
    <w:p>
      <w:pPr>
        <w:spacing w:after="140"/>
      </w:pPr>
    </w:p>
    <w:p>
      <w:pPr>
        <w:pStyle w:val="Heading2"/>
        <w:numPr>
          <w:ilvl w:val="1"/>
          <w:numId w:val="2"/>
        </w:numPr>
        <w:spacing w:after="140" w:before="260"/>
      </w:pPr>
      <w:r>
        <w:t xml:space="preserve">T</w:t>
      </w:r>
      <w:bookmarkStart w:name="sec_5_2" w:id="1"/>
      <w:r>
        <w:rPr>
          <w:b w:val="false"/>
          <w:bCs w:val="false"/>
          <w:i w:val="false"/>
          <w:iCs w:val="false"/>
        </w:rPr>
        <w:t xml:space="preserve">echnical support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Preliminary-Project-Plan-Information-System-Sub-Plans.docx&quot; \l &quot;sec_5_3&quot;">
              <w:r>
                <w:rPr>
                  <w:rStyle w:val="Hyperlink"/>
                  <w:b w:val="false"/>
                  <w:bCs w:val="false"/>
                  <w:i w:val="false"/>
                  <w:iCs w:val="false"/>
                </w:rPr>
                <w:t xml:space="preserve">5.3</w:t>
              </w:r>
            </w:fldSimple>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bl>
    <w:p>
      <w:pPr>
        <w:spacing w:after="140"/>
      </w:pPr>
    </w:p>
    <w:p>
      <w:pPr>
        <w:pStyle w:val="Heading2"/>
        <w:numPr>
          <w:ilvl w:val="1"/>
          <w:numId w:val="2"/>
        </w:numPr>
        <w:spacing w:after="140" w:before="260"/>
      </w:pPr>
      <w:r>
        <w:t xml:space="preserve">R</w:t>
      </w:r>
      <w:bookmarkStart w:name="sec_5_3"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1"/>
        <w:gridCol w:w="1999"/>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each meeting its role's qualifications,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Change Management and Configuration Governance Plan </w:t>
            </w:r>
            <w:r>
              <w:rPr>
                <w:b w:val="false"/>
                <w:bCs w:val="false"/>
                <w:i w:val="false"/>
                <w:iCs w:val="false"/>
              </w:rPr>
              <w:t xml:space="preserve">Sections 2 and 6</w:t>
            </w:r>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with at least five years in data center and high availability systems. The role leads the hardened platform, secondary environment, backup and recovery, and trains NRB staff on the clusters, storage array and database.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The specialist also trains NRB staff on quality assurance and the inspection of card security features, such as the UV, deliberate error, tactile laser and signed QR elements.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CISSP, CISM and CEH, and at least seven years in cybersecurity including three in identity management or PKI, with experience of hardware security modules, encryption and digital certificates. The role provides Level 2 security support through the warranty period.</w:t>
            </w:r>
          </w:p>
        </w:tc>
        <w:tc>
          <w:tcPr>
            <w:tcW w:type="dxa" w:w="1999"/>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2026-10-09T07:12:12.584Z</dcterms:created>
  <dcterms:modified xsi:type="dcterms:W3CDTF">2026-10-09T07:12:12.584Z</dcterms:modified>
</cp:coreProperties>
</file>

<file path=docProps/custom.xml><?xml version="1.0" encoding="utf-8"?>
<Properties xmlns="http://schemas.openxmlformats.org/officeDocument/2006/custom-properties" xmlns:vt="http://schemas.openxmlformats.org/officeDocument/2006/docPropsVTypes"/>
</file>