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Scope of the sub-plans</w:t>
              <w:tab/>
              <w:t xml:space="default">3</w:t>
            </w:r>
          </w:hyperlink>
        </w:p>
        <w:p>
          <w:pPr>
            <w:pStyle w:val="TOC2"/>
            <w:tabs>
              <w:tab w:val="clear" w:pos="8786"/>
              <w:tab w:val="right" w:pos="9025" w:leader="dot"/>
            </w:tabs>
          </w:pPr>
          <w:hyperlink w:history="1" w:anchor="sec_1_2">
            <w:r>
              <w:rPr>
                <w:rStyle w:val="IndexLink"/>
              </w:rPr>
              <w:t xml:space="default">1.2 Delivery approach</w:t>
              <w:tab/>
              <w:t xml:space="default">3</w:t>
            </w:r>
          </w:hyperlink>
        </w:p>
        <w:p>
          <w:pPr>
            <w:pStyle w:val="TOC1"/>
            <w:tabs>
              <w:tab w:val="clear" w:pos="9026"/>
              <w:tab w:val="right" w:pos="9025" w:leader="dot"/>
            </w:tabs>
          </w:pPr>
          <w:hyperlink w:history="1" w:anchor="sec_2">
            <w:r>
              <w:rPr>
                <w:rStyle w:val="IndexLink"/>
              </w:rPr>
              <w:t xml:space="default">2. Implementation Sub-Plan</w:t>
              <w:tab/>
              <w:t xml:space="default">5</w:t>
            </w:r>
          </w:hyperlink>
        </w:p>
        <w:p>
          <w:pPr>
            <w:pStyle w:val="TOC2"/>
            <w:tabs>
              <w:tab w:val="clear" w:pos="8786"/>
              <w:tab w:val="right" w:pos="9025" w:leader="dot"/>
            </w:tabs>
          </w:pPr>
          <w:hyperlink w:history="1" w:anchor="sec_2_1">
            <w:r>
              <w:rPr>
                <w:rStyle w:val="IndexLink"/>
              </w:rPr>
              <w:t xml:space="default">2.1 Methodology and phases</w:t>
              <w:tab/>
              <w:t xml:space="default">5</w:t>
            </w:r>
          </w:hyperlink>
        </w:p>
        <w:p>
          <w:pPr>
            <w:pStyle w:val="TOC2"/>
            <w:tabs>
              <w:tab w:val="clear" w:pos="8786"/>
              <w:tab w:val="right" w:pos="9025" w:leader="dot"/>
            </w:tabs>
          </w:pPr>
          <w:hyperlink w:history="1" w:anchor="sec_2_2">
            <w:r>
              <w:rPr>
                <w:rStyle w:val="IndexLink"/>
              </w:rPr>
              <w:t xml:space="default">2.2 Schedule</w:t>
              <w:tab/>
              <w:t xml:space="default">6</w:t>
            </w:r>
          </w:hyperlink>
        </w:p>
        <w:p>
          <w:pPr>
            <w:pStyle w:val="TOC2"/>
            <w:tabs>
              <w:tab w:val="clear" w:pos="8786"/>
              <w:tab w:val="right" w:pos="9025" w:leader="dot"/>
            </w:tabs>
          </w:pPr>
          <w:hyperlink w:history="1" w:anchor="sec_2_3">
            <w:r>
              <w:rPr>
                <w:rStyle w:val="IndexLink"/>
              </w:rPr>
              <w:t xml:space="default">2.3 Discovery and information gathering</w:t>
              <w:tab/>
              <w:t xml:space="default">9</w:t>
            </w:r>
          </w:hyperlink>
        </w:p>
        <w:p>
          <w:pPr>
            <w:pStyle w:val="TOC2"/>
            <w:tabs>
              <w:tab w:val="clear" w:pos="8786"/>
              <w:tab w:val="right" w:pos="9025" w:leader="dot"/>
            </w:tabs>
          </w:pPr>
          <w:hyperlink w:history="1" w:anchor="sec_2_4">
            <w:r>
              <w:rPr>
                <w:rStyle w:val="IndexLink"/>
              </w:rPr>
              <w:t xml:space="default">2.4 Design and process re-engineering</w:t>
              <w:tab/>
              <w:t xml:space="default">10</w:t>
            </w:r>
          </w:hyperlink>
        </w:p>
        <w:p>
          <w:pPr>
            <w:pStyle w:val="TOC2"/>
            <w:tabs>
              <w:tab w:val="clear" w:pos="8786"/>
              <w:tab w:val="right" w:pos="9025" w:leader="dot"/>
            </w:tabs>
          </w:pPr>
          <w:hyperlink w:history="1" w:anchor="sec_2_5">
            <w:r>
              <w:rPr>
                <w:rStyle w:val="IndexLink"/>
              </w:rPr>
              <w:t xml:space="default">2.5 Build, installation and integration</w:t>
              <w:tab/>
              <w:t xml:space="default">11</w:t>
            </w:r>
          </w:hyperlink>
        </w:p>
        <w:p>
          <w:pPr>
            <w:pStyle w:val="TOC2"/>
            <w:tabs>
              <w:tab w:val="clear" w:pos="8786"/>
              <w:tab w:val="right" w:pos="9025" w:leader="dot"/>
            </w:tabs>
          </w:pPr>
          <w:hyperlink w:history="1" w:anchor="sec_2_6">
            <w:r>
              <w:rPr>
                <w:rStyle w:val="IndexLink"/>
              </w:rPr>
              <w:t xml:space="default">2.6 Transition to production</w:t>
              <w:tab/>
              <w:t xml:space="default">13</w:t>
            </w:r>
          </w:hyperlink>
        </w:p>
        <w:p>
          <w:pPr>
            <w:pStyle w:val="TOC2"/>
            <w:tabs>
              <w:tab w:val="clear" w:pos="8786"/>
              <w:tab w:val="right" w:pos="9025" w:leader="dot"/>
            </w:tabs>
          </w:pPr>
          <w:hyperlink w:history="1" w:anchor="sec_2_7">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sec_2_8">
            <w:r>
              <w:rPr>
                <w:rStyle w:val="IndexLink"/>
              </w:rPr>
              <w:t xml:space="default">2.8 Responsibility assignment</w:t>
              <w:tab/>
              <w:t xml:space="default">15</w:t>
            </w:r>
          </w:hyperlink>
        </w:p>
        <w:p>
          <w:pPr>
            <w:pStyle w:val="TOC2"/>
            <w:tabs>
              <w:tab w:val="clear" w:pos="8786"/>
              <w:tab w:val="right" w:pos="9025" w:leader="dot"/>
            </w:tabs>
          </w:pPr>
          <w:hyperlink w:history="1" w:anchor="sec_2_9">
            <w:r>
              <w:rPr>
                <w:rStyle w:val="IndexLink"/>
              </w:rPr>
              <w:t xml:space="default">2.9 Implementation risks and mitigation</w:t>
              <w:tab/>
              <w:t xml:space="default">16</w:t>
            </w:r>
          </w:hyperlink>
        </w:p>
        <w:p>
          <w:pPr>
            <w:pStyle w:val="TOC2"/>
            <w:tabs>
              <w:tab w:val="clear" w:pos="8786"/>
              <w:tab w:val="right" w:pos="9025" w:leader="dot"/>
            </w:tabs>
          </w:pPr>
          <w:hyperlink w:history="1" w:anchor="sec_2_10">
            <w:r>
              <w:rPr>
                <w:rStyle w:val="IndexLink"/>
              </w:rPr>
              <w:t xml:space="default">2.10 Documentation deliverables</w:t>
              <w:tab/>
              <w:t xml:space="default">18</w:t>
            </w:r>
          </w:hyperlink>
        </w:p>
        <w:p>
          <w:pPr>
            <w:pStyle w:val="TOC1"/>
            <w:tabs>
              <w:tab w:val="clear" w:pos="9026"/>
              <w:tab w:val="right" w:pos="9025" w:leader="dot"/>
            </w:tabs>
          </w:pPr>
          <w:hyperlink w:history="1" w:anchor="sec_3">
            <w:r>
              <w:rPr>
                <w:rStyle w:val="IndexLink"/>
              </w:rPr>
              <w:t xml:space="default">3. Training Sub-Plan</w:t>
              <w:tab/>
              <w:t xml:space="default">21</w:t>
            </w:r>
          </w:hyperlink>
        </w:p>
        <w:p>
          <w:pPr>
            <w:pStyle w:val="TOC2"/>
            <w:tabs>
              <w:tab w:val="clear" w:pos="8786"/>
              <w:tab w:val="right" w:pos="9025" w:leader="dot"/>
            </w:tabs>
          </w:pPr>
          <w:hyperlink w:history="1" w:anchor="sec_3_1">
            <w:r>
              <w:rPr>
                <w:rStyle w:val="IndexLink"/>
              </w:rPr>
              <w:t xml:space="default">3.1 Approach and knowledge transfer</w:t>
              <w:tab/>
              <w:t xml:space="default">21</w:t>
            </w:r>
          </w:hyperlink>
        </w:p>
        <w:p>
          <w:pPr>
            <w:pStyle w:val="TOC2"/>
            <w:tabs>
              <w:tab w:val="clear" w:pos="8786"/>
              <w:tab w:val="right" w:pos="9025" w:leader="dot"/>
            </w:tabs>
          </w:pPr>
          <w:hyperlink w:history="1" w:anchor="sec_3_2">
            <w:r>
              <w:rPr>
                <w:rStyle w:val="IndexLink"/>
              </w:rPr>
              <w:t xml:space="default">3.2 Recommended trainees and prerequisites</w:t>
              <w:tab/>
              <w:t xml:space="default">22</w:t>
            </w:r>
          </w:hyperlink>
        </w:p>
        <w:p>
          <w:pPr>
            <w:pStyle w:val="TOC2"/>
            <w:tabs>
              <w:tab w:val="clear" w:pos="8786"/>
              <w:tab w:val="right" w:pos="9025" w:leader="dot"/>
            </w:tabs>
          </w:pPr>
          <w:hyperlink w:history="1" w:anchor="sec_3_3">
            <w:r>
              <w:rPr>
                <w:rStyle w:val="IndexLink"/>
              </w:rPr>
              <w:t xml:space="default">3.3 User training</w:t>
              <w:tab/>
              <w:t xml:space="default">23</w:t>
            </w:r>
          </w:hyperlink>
        </w:p>
        <w:p>
          <w:pPr>
            <w:pStyle w:val="TOC2"/>
            <w:tabs>
              <w:tab w:val="clear" w:pos="8786"/>
              <w:tab w:val="right" w:pos="9025" w:leader="dot"/>
            </w:tabs>
          </w:pPr>
          <w:hyperlink w:history="1" w:anchor="sec_3_4">
            <w:r>
              <w:rPr>
                <w:rStyle w:val="IndexLink"/>
              </w:rPr>
              <w:t xml:space="default">3.4 Technical training</w:t>
              <w:tab/>
              <w:t xml:space="default">24</w:t>
            </w:r>
          </w:hyperlink>
        </w:p>
        <w:p>
          <w:pPr>
            <w:pStyle w:val="TOC2"/>
            <w:tabs>
              <w:tab w:val="clear" w:pos="8786"/>
              <w:tab w:val="right" w:pos="9025" w:leader="dot"/>
            </w:tabs>
          </w:pPr>
          <w:hyperlink w:history="1" w:anchor="sec_3_5">
            <w:r>
              <w:rPr>
                <w:rStyle w:val="IndexLink"/>
              </w:rPr>
              <w:t xml:space="default">3.5 Management training</w:t>
              <w:tab/>
              <w:t xml:space="default">25</w:t>
            </w:r>
          </w:hyperlink>
        </w:p>
        <w:p>
          <w:pPr>
            <w:pStyle w:val="TOC2"/>
            <w:tabs>
              <w:tab w:val="clear" w:pos="8786"/>
              <w:tab w:val="right" w:pos="9025" w:leader="dot"/>
            </w:tabs>
          </w:pPr>
          <w:hyperlink w:history="1" w:anchor="sec_3_6">
            <w:r>
              <w:rPr>
                <w:rStyle w:val="IndexLink"/>
              </w:rPr>
              <w:t xml:space="default">3.6 Schedule, location and training environment</w:t>
              <w:tab/>
              <w:t xml:space="default">26</w:t>
            </w:r>
          </w:hyperlink>
        </w:p>
        <w:p>
          <w:pPr>
            <w:pStyle w:val="TOC2"/>
            <w:tabs>
              <w:tab w:val="clear" w:pos="8786"/>
              <w:tab w:val="right" w:pos="9025" w:leader="dot"/>
            </w:tabs>
          </w:pPr>
          <w:hyperlink w:history="1" w:anchor="sec_3_7">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sec_3_8">
            <w:r>
              <w:rPr>
                <w:rStyle w:val="IndexLink"/>
              </w:rPr>
              <w:t xml:space="default">3.8 Supplier trainers and sample materials</w:t>
              <w:tab/>
              <w:t xml:space="default">28</w:t>
            </w:r>
          </w:hyperlink>
        </w:p>
        <w:p>
          <w:pPr>
            <w:pStyle w:val="TOC1"/>
            <w:tabs>
              <w:tab w:val="clear" w:pos="9026"/>
              <w:tab w:val="right" w:pos="9025" w:leader="dot"/>
            </w:tabs>
          </w:pPr>
          <w:hyperlink w:history="1" w:anchor="sec_4">
            <w:r>
              <w:rPr>
                <w:rStyle w:val="IndexLink"/>
              </w:rPr>
              <w:t xml:space="default">4. Testing and Quality Assurance Sub-Plan</w:t>
              <w:tab/>
              <w:t xml:space="default">31</w:t>
            </w:r>
          </w:hyperlink>
        </w:p>
        <w:p>
          <w:pPr>
            <w:pStyle w:val="TOC2"/>
            <w:tabs>
              <w:tab w:val="clear" w:pos="8786"/>
              <w:tab w:val="right" w:pos="9025" w:leader="dot"/>
            </w:tabs>
          </w:pPr>
          <w:hyperlink w:history="1" w:anchor="sec_4_1">
            <w:r>
              <w:rPr>
                <w:rStyle w:val="IndexLink"/>
              </w:rPr>
              <w:t xml:space="default">4.1 Test strategy and levels</w:t>
              <w:tab/>
              <w:t xml:space="default">31</w:t>
            </w:r>
          </w:hyperlink>
        </w:p>
        <w:p>
          <w:pPr>
            <w:pStyle w:val="TOC2"/>
            <w:tabs>
              <w:tab w:val="clear" w:pos="8786"/>
              <w:tab w:val="right" w:pos="9025" w:leader="dot"/>
            </w:tabs>
          </w:pPr>
          <w:hyperlink w:history="1" w:anchor="sec_4_2">
            <w:r>
              <w:rPr>
                <w:rStyle w:val="IndexLink"/>
              </w:rPr>
              <w:t xml:space="default">4.2 Test environments and test data</w:t>
              <w:tab/>
              <w:t xml:space="default">32</w:t>
            </w:r>
          </w:hyperlink>
        </w:p>
        <w:p>
          <w:pPr>
            <w:pStyle w:val="TOC2"/>
            <w:tabs>
              <w:tab w:val="clear" w:pos="8786"/>
              <w:tab w:val="right" w:pos="9025" w:leader="dot"/>
            </w:tabs>
          </w:pPr>
          <w:hyperlink w:history="1" w:anchor="sec_4_3">
            <w:r>
              <w:rPr>
                <w:rStyle w:val="IndexLink"/>
              </w:rPr>
              <w:t xml:space="default">4.3 Factory acceptance testing</w:t>
              <w:tab/>
              <w:t xml:space="default">33</w:t>
            </w:r>
          </w:hyperlink>
        </w:p>
        <w:p>
          <w:pPr>
            <w:pStyle w:val="TOC2"/>
            <w:tabs>
              <w:tab w:val="clear" w:pos="8786"/>
              <w:tab w:val="right" w:pos="9025" w:leader="dot"/>
            </w:tabs>
          </w:pPr>
          <w:hyperlink w:history="1" w:anchor="sec_4_4">
            <w:r>
              <w:rPr>
                <w:rStyle w:val="IndexLink"/>
              </w:rPr>
              <w:t xml:space="default">4.4 Integration and security testing</w:t>
              <w:tab/>
              <w:t xml:space="default">34</w:t>
            </w:r>
          </w:hyperlink>
        </w:p>
        <w:p>
          <w:pPr>
            <w:pStyle w:val="TOC2"/>
            <w:tabs>
              <w:tab w:val="clear" w:pos="8786"/>
              <w:tab w:val="right" w:pos="9025" w:leader="dot"/>
            </w:tabs>
          </w:pPr>
          <w:hyperlink w:history="1" w:anchor="sec_4_5">
            <w:r>
              <w:rPr>
                <w:rStyle w:val="IndexLink"/>
              </w:rPr>
              <w:t xml:space="default">4.5 Pre-commissioning tests</w:t>
              <w:tab/>
              <w:t xml:space="default">35</w:t>
            </w:r>
          </w:hyperlink>
        </w:p>
        <w:p>
          <w:pPr>
            <w:pStyle w:val="TOC2"/>
            <w:tabs>
              <w:tab w:val="clear" w:pos="8786"/>
              <w:tab w:val="right" w:pos="9025" w:leader="dot"/>
            </w:tabs>
          </w:pPr>
          <w:hyperlink w:history="1" w:anchor="sec_4_6">
            <w:r>
              <w:rPr>
                <w:rStyle w:val="IndexLink"/>
              </w:rPr>
              <w:t xml:space="default">4.6 Operational acceptance tests</w:t>
              <w:tab/>
              <w:t xml:space="default">36</w:t>
            </w:r>
          </w:hyperlink>
        </w:p>
        <w:p>
          <w:pPr>
            <w:pStyle w:val="TOC2"/>
            <w:tabs>
              <w:tab w:val="clear" w:pos="8786"/>
              <w:tab w:val="right" w:pos="9025" w:leader="dot"/>
            </w:tabs>
          </w:pPr>
          <w:hyperlink w:history="1" w:anchor="sec_4_7">
            <w:r>
              <w:rPr>
                <w:rStyle w:val="IndexLink"/>
              </w:rPr>
              <w:t xml:space="default">4.7 Defect management and quality assurance</w:t>
              <w:tab/>
              <w:t xml:space="default">38</w:t>
            </w:r>
          </w:hyperlink>
        </w:p>
        <w:p>
          <w:pPr>
            <w:pStyle w:val="TOC1"/>
            <w:tabs>
              <w:tab w:val="clear" w:pos="9026"/>
              <w:tab w:val="right" w:pos="9025" w:leader="dot"/>
            </w:tabs>
          </w:pPr>
          <w:hyperlink w:history="1" w:anchor="sec_5">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sec_5_1">
            <w:r>
              <w:rPr>
                <w:rStyle w:val="IndexLink"/>
              </w:rPr>
              <w:t xml:space="default">5.1 Coverage and periods</w:t>
              <w:tab/>
              <w:t xml:space="default">40</w:t>
            </w:r>
          </w:hyperlink>
        </w:p>
        <w:p>
          <w:pPr>
            <w:pStyle w:val="TOC2"/>
            <w:tabs>
              <w:tab w:val="clear" w:pos="8786"/>
              <w:tab w:val="right" w:pos="9025" w:leader="dot"/>
            </w:tabs>
          </w:pPr>
          <w:hyperlink w:history="1" w:anchor="sec_5_2">
            <w:r>
              <w:rPr>
                <w:rStyle w:val="IndexLink"/>
              </w:rPr>
              <w:t xml:space="default">5.2 Support organization and service desk</w:t>
              <w:tab/>
              <w:t xml:space="default">41</w:t>
            </w:r>
          </w:hyperlink>
        </w:p>
        <w:p>
          <w:pPr>
            <w:pStyle w:val="TOC2"/>
            <w:tabs>
              <w:tab w:val="clear" w:pos="8786"/>
              <w:tab w:val="right" w:pos="9025" w:leader="dot"/>
            </w:tabs>
          </w:pPr>
          <w:hyperlink w:history="1" w:anchor="sec_5_3">
            <w:r>
              <w:rPr>
                <w:rStyle w:val="IndexLink"/>
              </w:rPr>
              <w:t xml:space="default">5.3 Service levels and performance indicators</w:t>
              <w:tab/>
              <w:t xml:space="default">41</w:t>
            </w:r>
          </w:hyperlink>
        </w:p>
        <w:p>
          <w:pPr>
            <w:pStyle w:val="TOC2"/>
            <w:tabs>
              <w:tab w:val="clear" w:pos="8786"/>
              <w:tab w:val="right" w:pos="9025" w:leader="dot"/>
            </w:tabs>
          </w:pPr>
          <w:hyperlink w:history="1" w:anchor="sec_5_4">
            <w:r>
              <w:rPr>
                <w:rStyle w:val="IndexLink"/>
              </w:rPr>
              <w:t xml:space="default">5.4 Preventive and corrective maintenance</w:t>
              <w:tab/>
              <w:t xml:space="default">42</w:t>
            </w:r>
          </w:hyperlink>
        </w:p>
        <w:p>
          <w:pPr>
            <w:pStyle w:val="TOC2"/>
            <w:tabs>
              <w:tab w:val="clear" w:pos="8786"/>
              <w:tab w:val="right" w:pos="9025" w:leader="dot"/>
            </w:tabs>
          </w:pPr>
          <w:hyperlink w:history="1" w:anchor="sec_5_5">
            <w:r>
              <w:rPr>
                <w:rStyle w:val="IndexLink"/>
              </w:rPr>
              <w:t xml:space="default">5.5 Spare parts and consumables</w:t>
              <w:tab/>
              <w:t xml:space="default">43</w:t>
            </w:r>
          </w:hyperlink>
        </w:p>
        <w:p>
          <w:pPr>
            <w:pStyle w:val="TOC2"/>
            <w:tabs>
              <w:tab w:val="clear" w:pos="8786"/>
              <w:tab w:val="right" w:pos="9025" w:leader="dot"/>
            </w:tabs>
          </w:pPr>
          <w:hyperlink w:history="1" w:anchor="sec_5_6">
            <w:r>
              <w:rPr>
                <w:rStyle w:val="IndexLink"/>
              </w:rPr>
              <w:t xml:space="default">5.6 Service reporting, review and handover</w:t>
              <w:tab/>
              <w:t xml:space="default">44</w:t>
            </w:r>
          </w:hyperlink>
        </w:p>
        <w:p>
          <w:pPr>
            <w:pStyle w:val="TOC1"/>
            <w:tabs>
              <w:tab w:val="clear" w:pos="9026"/>
              <w:tab w:val="right" w:pos="9025" w:leader="dot"/>
            </w:tabs>
          </w:pPr>
          <w:hyperlink w:history="1" w:anchor="annex_a">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the sub-plans</w:t>
      </w:r>
      <w:bookmarkEnd w:id="1"/>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1"/>
      <w:r>
        <w:rPr>
          <w:b w:val="false"/>
          <w:bCs w:val="false"/>
          <w:i w:val="false"/>
          <w:iCs w:val="false"/>
        </w:rPr>
        <w:t xml:space="preserve">elivery approach</w:t>
      </w:r>
      <w:bookmarkEnd w:id="1"/>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r>
        <w:t xml:space="preserve">I</w:t>
      </w:r>
      <w:bookmarkStart w:name="sec_2" w:id="1"/>
      <w:r>
        <w:rPr>
          <w:b w:val="false"/>
          <w:bCs w:val="false"/>
          <w:i w:val="false"/>
          <w:iCs w:val="false"/>
        </w:rPr>
        <w:t xml:space="preserve">mplementation Sub-Plan</w:t>
      </w:r>
      <w:bookmarkEnd w:id="1"/>
    </w:p>
    <w:p>
      <w:pPr>
        <w:pStyle w:val="Heading2"/>
        <w:numPr>
          <w:ilvl w:val="1"/>
          <w:numId w:val="2"/>
        </w:numPr>
        <w:spacing w:after="140" w:before="260"/>
      </w:pPr>
      <w:r>
        <w:t xml:space="preserve">M</w:t>
      </w:r>
      <w:bookmarkStart w:name="sec_2_1" w:id="1"/>
      <w:r>
        <w:rPr>
          <w:b w:val="false"/>
          <w:bCs w:val="false"/>
          <w:i w:val="false"/>
          <w:iCs w:val="false"/>
        </w:rPr>
        <w:t xml:space="preserve">ethodology and phases</w:t>
      </w:r>
      <w:bookmarkEnd w:id="1"/>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0"/>
        <w:gridCol w:w="167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0"/>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70"/>
            <w:tcMar>
              <w:top w:type="dxa" w:w="60"/>
              <w:left w:type="dxa" w:w="100"/>
              <w:bottom w:type="dxa" w:w="60"/>
              <w:right w:type="dxa" w:w="100"/>
            </w:tcMar>
          </w:tcPr>
          <w:p>
            <w:pPr>
              <w:spacing w:after="0" w:before="0"/>
            </w:pPr>
            <w:r>
              <w:rPr>
                <w:b w:val="false"/>
                <w:bCs w:val="false"/>
                <w:i w:val="false"/>
                <w:iCs w:val="false"/>
              </w:rPr>
              <w:t xml:space="preserve">Equipment manufacturer, under the 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0"/>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0"/>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0"/>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manufacturer, under the Supplier</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1"/>
      <w:r>
        <w:rPr>
          <w:b w:val="false"/>
          <w:bCs w:val="false"/>
          <w:i w:val="false"/>
          <w:iCs w:val="false"/>
        </w:rPr>
        <w:t xml:space="preserve">chedule</w:t>
      </w:r>
      <w:bookmarkEnd w:id="1"/>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1"/>
      <w:r>
        <w:rPr>
          <w:b w:val="false"/>
          <w:bCs w:val="false"/>
          <w:i w:val="false"/>
          <w:iCs w:val="false"/>
        </w:rPr>
        <w:t xml:space="preserve">iscovery and information gathering</w:t>
      </w:r>
      <w:bookmarkEnd w:id="1"/>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1"/>
      <w:r>
        <w:rPr>
          <w:b w:val="false"/>
          <w:bCs w:val="false"/>
          <w:i w:val="false"/>
          <w:iCs w:val="false"/>
        </w:rPr>
        <w:t xml:space="preserve">esign and process re-engineering</w:t>
      </w:r>
      <w:bookmarkEnd w:id="1"/>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1"/>
      <w:r>
        <w:rPr>
          <w:b w:val="false"/>
          <w:bCs w:val="false"/>
          <w:i w:val="false"/>
          <w:iCs w:val="false"/>
        </w:rPr>
        <w:t xml:space="preserve">uild, installation and integration</w:t>
      </w:r>
      <w:bookmarkEnd w:id="1"/>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r>
        <w:t xml:space="preserve">T</w:t>
      </w:r>
      <w:bookmarkStart w:name="sec_2_6" w:id="1"/>
      <w:r>
        <w:rPr>
          <w:b w:val="false"/>
          <w:bCs w:val="false"/>
          <w:i w:val="false"/>
          <w:iCs w:val="false"/>
        </w:rPr>
        <w:t xml:space="preserve">ransition to production</w:t>
      </w:r>
      <w:bookmarkEnd w:id="1"/>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Operational acceptance tests in weeks 27 to 30 also run against the NRIS test environment, as the Responses to Queries 003 require, and their cards are not issued to citizens. Live production on real NRIS records begins once Operational Acceptance is achieved, at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r>
        <w:t xml:space="preserve">D</w:t>
      </w:r>
      <w:bookmarkStart w:name="sec_2_7" w:id="1"/>
      <w:r>
        <w:rPr>
          <w:b w:val="false"/>
          <w:bCs w:val="false"/>
          <w:i w:val="false"/>
          <w:iCs w:val="false"/>
        </w:rPr>
        <w:t xml:space="preserve">ependencies on the Purchaser and other parties</w:t>
      </w:r>
      <w:bookmarkEnd w:id="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r>
        <w:t xml:space="preserve">R</w:t>
      </w:r>
      <w:bookmarkStart w:name="sec_2_8" w:id="1"/>
      <w:r>
        <w:rPr>
          <w:b w:val="false"/>
          <w:bCs w:val="false"/>
          <w:i w:val="false"/>
          <w:iCs w:val="false"/>
        </w:rPr>
        <w:t xml:space="preserve">esponsibility assignment</w:t>
      </w:r>
      <w:bookmarkEnd w:id="1"/>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Supplier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
      <w:r>
        <w:rPr>
          <w:b w:val="false"/>
          <w:bCs w:val="false"/>
          <w:i w:val="false"/>
          <w:iCs w:val="false"/>
        </w:rPr>
        <w:t xml:space="preserve">mplementation risks and mitigation</w:t>
      </w:r>
      <w:bookmarkEnd w:id="1"/>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5"/>
        <w:gridCol w:w="1340"/>
        <w:gridCol w:w="900"/>
        <w:gridCol w:w="2636"/>
        <w:gridCol w:w="1559"/>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6"/>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5"/>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5"/>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5"/>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5"/>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5"/>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5"/>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59"/>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5"/>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5"/>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5"/>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5"/>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5"/>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
      <w:r>
        <w:rPr>
          <w:b w:val="false"/>
          <w:bCs w:val="false"/>
          <w:i w:val="false"/>
          <w:iCs w:val="false"/>
        </w:rPr>
        <w:t xml:space="preserve">ocumentation deliverables</w:t>
      </w:r>
      <w:bookmarkEnd w:id="1"/>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the physical layout drawings, facility floor plans and power and cooling design, and the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 third-party integration procedures for the postal operator and the Government PKI</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environmental monitoring and facility inspection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security compliance reports and regulatory approvals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r>
        <w:t xml:space="preserve">T</w:t>
      </w:r>
      <w:bookmarkStart w:name="sec_3" w:id="1"/>
      <w:r>
        <w:rPr>
          <w:b w:val="false"/>
          <w:bCs w:val="false"/>
          <w:i w:val="false"/>
          <w:iCs w:val="false"/>
        </w:rPr>
        <w:t xml:space="preserve">raining Sub-Plan</w:t>
      </w:r>
      <w:bookmarkEnd w:id="1"/>
    </w:p>
    <w:p>
      <w:pPr>
        <w:pStyle w:val="Heading2"/>
        <w:numPr>
          <w:ilvl w:val="1"/>
          <w:numId w:val="2"/>
        </w:numPr>
        <w:spacing w:after="140" w:before="260"/>
      </w:pPr>
      <w:r>
        <w:t xml:space="preserve">A</w:t>
      </w:r>
      <w:bookmarkStart w:name="sec_3_1" w:id="1"/>
      <w:r>
        <w:rPr>
          <w:b w:val="false"/>
          <w:bCs w:val="false"/>
          <w:i w:val="false"/>
          <w:iCs w:val="false"/>
        </w:rPr>
        <w:t xml:space="preserve">pproach and knowledge transfer</w:t>
      </w:r>
      <w:bookmarkEnd w:id="1"/>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
      <w:r>
        <w:rPr>
          <w:b w:val="false"/>
          <w:bCs w:val="false"/>
          <w:i w:val="false"/>
          <w:iCs w:val="false"/>
        </w:rPr>
        <w:t xml:space="preserve">ecommended trainees and prerequisites</w:t>
      </w:r>
      <w:bookmarkEnd w:id="1"/>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
      <w:r>
        <w:rPr>
          <w:b w:val="false"/>
          <w:bCs w:val="false"/>
          <w:i w:val="false"/>
          <w:iCs w:val="false"/>
        </w:rPr>
        <w:t xml:space="preserve">ser training</w:t>
      </w:r>
      <w:bookmarkEnd w:id="1"/>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
      <w:r>
        <w:rPr>
          <w:b w:val="false"/>
          <w:bCs w:val="false"/>
          <w:i w:val="false"/>
          <w:iCs w:val="false"/>
        </w:rPr>
        <w:t xml:space="preserve">echnical training</w:t>
      </w:r>
      <w:bookmarkEnd w:id="1"/>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1"/>
      <w:r>
        <w:rPr>
          <w:b w:val="false"/>
          <w:bCs w:val="false"/>
          <w:i w:val="false"/>
          <w:iCs w:val="false"/>
        </w:rPr>
        <w:t xml:space="preserve">anagement training</w:t>
      </w:r>
      <w:bookmarkEnd w:id="1"/>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with presentations, and two days of strategy sessions,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1"/>
      <w:r>
        <w:rPr>
          <w:b w:val="false"/>
          <w:bCs w:val="false"/>
          <w:i w:val="false"/>
          <w:iCs w:val="false"/>
        </w:rPr>
        <w:t xml:space="preserve">chedule, location and training environment</w:t>
      </w:r>
      <w:bookmarkEnd w:id="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r>
        <w:t xml:space="preserve">A</w:t>
      </w:r>
      <w:bookmarkStart w:name="sec_3_7" w:id="1"/>
      <w:r>
        <w:rPr>
          <w:b w:val="false"/>
          <w:bCs w:val="false"/>
          <w:i w:val="false"/>
          <w:iCs w:val="false"/>
        </w:rPr>
        <w:t xml:space="preserve">ssessment, certification and operational independence</w:t>
      </w:r>
      <w:bookmarkEnd w:id="1"/>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1"/>
      <w:r>
        <w:rPr>
          <w:b w:val="false"/>
          <w:bCs w:val="false"/>
          <w:i w:val="false"/>
          <w:iCs w:val="false"/>
        </w:rPr>
        <w:t xml:space="preserve">upplier trainers and sample materials</w:t>
      </w:r>
      <w:bookmarkEnd w:id="1"/>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470"/>
        <w:gridCol w:w="466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470"/>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660"/>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trainer certification and change management certification;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470"/>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660"/>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660"/>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660"/>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ACE-M and PKI certifications; at least five years implementing multilayer polycarbonate card security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Cisco CCNA or CCNP and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CISSP, CISM and CEH; at least seven years in cybersecurity, including three in identity management or PKI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certifications in APIs, middleware and web services;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438"/>
        <w:gridCol w:w="3352"/>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438"/>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352"/>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352"/>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352"/>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a laser station taken out of service mid-batch; assisting calibration</w:t>
            </w:r>
          </w:p>
        </w:tc>
        <w:tc>
          <w:tcPr>
            <w:tcW w:type="dxa" w:w="3352"/>
            <w:tcMar>
              <w:top w:type="dxa" w:w="60"/>
              <w:left w:type="dxa" w:w="100"/>
              <w:bottom w:type="dxa" w:w="60"/>
              <w:right w:type="dxa" w:w="100"/>
            </w:tcMar>
          </w:tcPr>
          <w:p>
            <w:pPr>
              <w:spacing w:after="0" w:before="0"/>
            </w:pPr>
            <w:r>
              <w:rPr>
                <w:b w:val="false"/>
                <w:bCs w:val="false"/>
                <w:i w:val="false"/>
                <w:iCs w:val="false"/>
              </w:rPr>
              <w:t xml:space="preserve">Take a station out of service during a run and confirm production continues on the others;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352"/>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72"/>
        <w:gridCol w:w="6448"/>
      </w:tblGrid>
      <w:tr>
        <w:trPr>
          <w:tblHeader/>
        </w:trPr>
        <w:tc>
          <w:tcPr>
            <w:tcW w:type="dxa" w:w="257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44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44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44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448"/>
            <w:tcMar>
              <w:top w:type="dxa" w:w="60"/>
              <w:left w:type="dxa" w:w="100"/>
              <w:bottom w:type="dxa" w:w="60"/>
              <w:right w:type="dxa" w:w="100"/>
            </w:tcMar>
          </w:tcPr>
          <w:p>
            <w:pPr>
              <w:spacing w:after="0" w:before="0"/>
            </w:pPr>
            <w:r>
              <w:rPr>
                <w:b w:val="false"/>
                <w:bCs w:val="false"/>
                <w:i w:val="false"/>
                <w:iCs w:val="false"/>
              </w:rPr>
              <w:t xml:space="preserve">Production continues on the remaining stations, and the event is reported to the supervisor</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44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44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44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44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Sub-Plan</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est strategy and levels</w:t>
      </w:r>
      <w:bookmarkEnd w:id="1"/>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3106"/>
        <w:gridCol w:w="1437"/>
        <w:gridCol w:w="570"/>
        <w:gridCol w:w="1466"/>
        <w:gridCol w:w="1400"/>
      </w:tblGrid>
      <w:tr>
        <w:trPr>
          <w:tblHeader/>
        </w:trPr>
        <w:tc>
          <w:tcPr>
            <w:tcW w:type="dxa" w:w="104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06"/>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437"/>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7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00"/>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437"/>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437"/>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17</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00"/>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06"/>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00"/>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00"/>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66"/>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operates in production conditions, and NRB operates it</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66"/>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00"/>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Inspection on delivery.</w:t>
      </w:r>
      <w:r>
        <w:rPr>
          <w:b w:val="false"/>
          <w:bCs w:val="false"/>
          <w:i w:val="false"/>
          <w:iCs w:val="false"/>
        </w:rPr>
        <w:t xml:space="preserve"> Each delivery is checked against the packing list and the purchase order, and its packaging and shock indicators are checked for damage. Serial numbers are recorded at receipt. A shortage, a discrepancy or damage is recorded, photographed and reported for replacement, and the item is held aside until it is resolved. NRB signs the delivery inspection record before installation begins.</w:t>
      </w: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1"/>
      <w:r>
        <w:rPr>
          <w:b w:val="false"/>
          <w:bCs w:val="false"/>
          <w:i w:val="false"/>
          <w:iCs w:val="false"/>
        </w:rPr>
        <w:t xml:space="preserve">est environments and test data</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73"/>
        <w:gridCol w:w="3447"/>
        <w:gridCol w:w="145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673"/>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447"/>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673"/>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673"/>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447"/>
            <w:tcMar>
              <w:top w:type="dxa" w:w="60"/>
              <w:left w:type="dxa" w:w="100"/>
              <w:bottom w:type="dxa" w:w="60"/>
              <w:right w:type="dxa" w:w="100"/>
            </w:tcMar>
          </w:tcPr>
          <w:p>
            <w:pPr>
              <w:spacing w:after="0" w:before="0"/>
            </w:pPr>
            <w:r>
              <w:rPr>
                <w:b w:val="false"/>
                <w:bCs w:val="false"/>
                <w:i w:val="false"/>
                <w:iCs w:val="false"/>
              </w:rPr>
              <w:t xml:space="preserve">Pre-commissioning and operational acceptance, against the NRIS test environment, then live operation after Operational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1"/>
      <w:r>
        <w:rPr>
          <w:b w:val="false"/>
          <w:bCs w:val="false"/>
          <w:i w:val="false"/>
          <w:iCs w:val="false"/>
        </w:rPr>
        <w:t xml:space="preserve">actory acceptance testing</w:t>
      </w:r>
      <w:bookmarkEnd w:id="1"/>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Independent 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A station is switched off and taken out of operation during a run, and production continues without interruption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1"/>
      <w:r>
        <w:rPr>
          <w:b w:val="false"/>
          <w:bCs w:val="false"/>
          <w:i w:val="false"/>
          <w:iCs w:val="false"/>
        </w:rPr>
        <w:t xml:space="preserve">ntegration and security testing</w:t>
      </w:r>
      <w:bookmarkEnd w:id="1"/>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1"/>
      <w:r>
        <w:rPr>
          <w:b w:val="false"/>
          <w:bCs w:val="false"/>
          <w:i w:val="false"/>
          <w:iCs w:val="false"/>
        </w:rPr>
        <w:t xml:space="preserve">re-commissioning tests</w:t>
      </w:r>
      <w:bookmarkEnd w:id="1"/>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QR encoding, barcode encoding where applicable, and print quality</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in accepted finished cards,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1"/>
      <w:r>
        <w:rPr>
          <w:b w:val="false"/>
          <w:bCs w:val="false"/>
          <w:i w:val="false"/>
          <w:iCs w:val="false"/>
        </w:rPr>
        <w:t xml:space="preserve">perational acceptance tests</w:t>
      </w:r>
      <w:bookmarkEnd w:id="1"/>
    </w:p>
    <w:p>
      <w:pPr>
        <w:spacing w:after="140" w:line="276"/>
      </w:pPr>
      <w:r>
        <w:rPr>
          <w:b w:val="false"/>
          <w:bCs w:val="false"/>
          <w:i w:val="false"/>
          <w:iCs w:val="false"/>
        </w:rPr>
        <w:t xml:space="preserve">The operational acceptance tests are performed by the Purchaser with the Supplier's assistance, in the production environment against the NRIS test environment, as the Responses to Queries 003 require, once the Installation Certificate has been issued. Cards produced during the tests are not issued to citizens.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accepted finished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1"/>
      <w:r>
        <w:rPr>
          <w:b w:val="false"/>
          <w:bCs w:val="false"/>
          <w:i w:val="false"/>
          <w:iCs w:val="false"/>
        </w:rPr>
        <w:t xml:space="preserve">efect management and quality assurance</w:t>
      </w:r>
      <w:bookmarkEnd w:id="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r>
        <w:t xml:space="preserve">W</w:t>
      </w:r>
      <w:bookmarkStart w:name="sec_5" w:id="1"/>
      <w:r>
        <w:rPr>
          <w:b w:val="false"/>
          <w:bCs w:val="false"/>
          <w:i w:val="false"/>
          <w:iCs w:val="false"/>
        </w:rPr>
        <w:t xml:space="preserve">arranty Defect Repair and Technical Support Service Sub-Plan</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overage and periods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r>
        <w:t xml:space="preserve">S</w:t>
      </w:r>
      <w:bookmarkStart w:name="sec_5_2" w:id="1"/>
      <w:r>
        <w:rPr>
          <w:b w:val="false"/>
          <w:bCs w:val="false"/>
          <w:i w:val="false"/>
          <w:iCs w:val="false"/>
        </w:rPr>
        <w:t xml:space="preserve">upport organization and service desk</w:t>
      </w:r>
      <w:bookmarkEnd w:id="1"/>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1"/>
      <w:r>
        <w:rPr>
          <w:b w:val="false"/>
          <w:bCs w:val="false"/>
          <w:i w:val="false"/>
          <w:iCs w:val="false"/>
        </w:rPr>
        <w:t xml:space="preserve">ervice levels and performance indicators</w:t>
      </w:r>
      <w:bookmarkEnd w:id="1"/>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1"/>
      <w:r>
        <w:rPr>
          <w:b w:val="false"/>
          <w:bCs w:val="false"/>
          <w:i w:val="false"/>
          <w:iCs w:val="false"/>
        </w:rPr>
        <w:t xml:space="preserve">reventive and corrective maintenance</w:t>
      </w:r>
      <w:bookmarkEnd w:id="1"/>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02"/>
        <w:gridCol w:w="3513"/>
        <w:gridCol w:w="2605"/>
      </w:tblGrid>
      <w:tr>
        <w:trPr>
          <w:tblHeader/>
        </w:trPr>
        <w:tc>
          <w:tcPr>
            <w:tcW w:type="dxa" w:w="2902"/>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13"/>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05"/>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cooling, compressors, feeders and card transport</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05"/>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13"/>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13"/>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13"/>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13"/>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13"/>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13"/>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1"/>
      <w:r>
        <w:rPr>
          <w:b w:val="false"/>
          <w:bCs w:val="false"/>
          <w:i w:val="false"/>
          <w:iCs w:val="false"/>
        </w:rPr>
        <w:t xml:space="preserve">pare parts and consumables</w:t>
      </w:r>
      <w:bookmarkEnd w:id="1"/>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cooling,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1"/>
      <w:r>
        <w:rPr>
          <w:b w:val="false"/>
          <w:bCs w:val="false"/>
          <w:i w:val="false"/>
          <w:iCs w:val="false"/>
        </w:rPr>
        <w:t xml:space="preserve">ervice reporting, review and handover</w:t>
      </w:r>
      <w:bookmarkEnd w:id="1"/>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r>
        <w:t xml:space="preserve">A</w:t>
      </w:r>
      <w:bookmarkStart w:name="annex_a" w:id="1"/>
      <w:r>
        <w:rPr>
          <w:b w:val="false"/>
          <w:bCs w:val="false"/>
          <w:i w:val="false"/>
          <w:iCs w:val="false"/>
        </w:rPr>
        <w:t xml:space="preserve">nnex A. Licensing Bill of Materials</w:t>
      </w:r>
      <w:bookmarkEnd w:id="1"/>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Platform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876"/>
        <w:gridCol w:w="2015"/>
        <w:gridCol w:w="37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876"/>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789"/>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876"/>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015"/>
            <w:tcMar>
              <w:top w:type="dxa" w:w="60"/>
              <w:left w:type="dxa" w:w="100"/>
              <w:bottom w:type="dxa" w:w="60"/>
              <w:right w:type="dxa" w:w="100"/>
            </w:tcMar>
          </w:tcPr>
          <w:p>
            <w:pPr>
              <w:spacing w:after="0" w:before="0"/>
            </w:pPr>
            <w:r>
              <w:rPr>
                <w:b w:val="false"/>
                <w:bCs w:val="false"/>
                <w:i w:val="false"/>
                <w:iCs w:val="false"/>
              </w:rPr>
              <w:t xml:space="preserve">240 core licenses: 5 hosts of two 24-core processors, 4 at the primary site and 1 at the secondary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server operating system and Hyper-V on every host, failover clustering of the application hosts and of the database hosts, and the Windows Server virtual machines those hosts run, including the domain controllers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015"/>
            <w:tcMar>
              <w:top w:type="dxa" w:w="60"/>
              <w:left w:type="dxa" w:w="100"/>
              <w:bottom w:type="dxa" w:w="60"/>
              <w:right w:type="dxa" w:w="100"/>
            </w:tcMar>
          </w:tcPr>
          <w:p>
            <w:pPr>
              <w:spacing w:after="0" w:before="0"/>
            </w:pPr>
            <w:r>
              <w:rPr>
                <w:b w:val="false"/>
                <w:bCs w:val="false"/>
                <w:i w:val="false"/>
                <w:iCs w:val="false"/>
              </w:rPr>
              <w:t xml:space="preserve">One for each person holding an account on the system</w:t>
            </w:r>
          </w:p>
        </w:tc>
        <w:tc>
          <w:tcPr>
            <w:tcW w:type="dxa" w:w="3789"/>
            <w:tcMar>
              <w:top w:type="dxa" w:w="60"/>
              <w:left w:type="dxa" w:w="100"/>
              <w:bottom w:type="dxa" w:w="60"/>
              <w:right w:type="dxa" w:w="100"/>
            </w:tcMar>
          </w:tcPr>
          <w:p>
            <w:pPr>
              <w:spacing w:after="0" w:before="0"/>
            </w:pPr>
            <w:r>
              <w:rPr>
                <w:b w:val="false"/>
                <w:bCs w:val="false"/>
                <w:i w:val="false"/>
                <w:iCs w:val="false"/>
              </w:rPr>
              <w:t xml:space="preserve">Access by users to the Windows Server estate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876"/>
            <w:tcMar>
              <w:top w:type="dxa" w:w="60"/>
              <w:left w:type="dxa" w:w="100"/>
              <w:bottom w:type="dxa" w:w="60"/>
              <w:right w:type="dxa" w:w="100"/>
            </w:tcMar>
          </w:tcPr>
          <w:p>
            <w:pPr>
              <w:spacing w:after="0" w:before="0"/>
            </w:pPr>
            <w:r>
              <w:rPr>
                <w:b w:val="false"/>
                <w:bCs w:val="false"/>
                <w:i w:val="false"/>
                <w:iCs w:val="false"/>
              </w:rPr>
              <w:t xml:space="preserve">Per virtual core, not fewer than four per virtual machine, with Software Assurance</w:t>
            </w:r>
          </w:p>
        </w:tc>
        <w:tc>
          <w:tcPr>
            <w:tcW w:type="dxa" w:w="2015"/>
            <w:tcMar>
              <w:top w:type="dxa" w:w="60"/>
              <w:left w:type="dxa" w:w="100"/>
              <w:bottom w:type="dxa" w:w="60"/>
              <w:right w:type="dxa" w:w="100"/>
            </w:tcMar>
          </w:tcPr>
          <w:p>
            <w:pPr>
              <w:spacing w:after="0" w:before="0"/>
            </w:pPr>
            <w:r>
              <w:rPr>
                <w:b w:val="false"/>
                <w:bCs w:val="false"/>
                <w:i w:val="false"/>
                <w:iCs w:val="false"/>
              </w:rPr>
              <w:t xml:space="preserve">The virtual cores allocated to the active database node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production database. The passive node at the primary site and the secondary copy at the secondary site are covered by the failover rights of Software Assurance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876"/>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3789"/>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015"/>
            <w:tcMar>
              <w:top w:type="dxa" w:w="60"/>
              <w:left w:type="dxa" w:w="100"/>
              <w:bottom w:type="dxa" w:w="60"/>
              <w:right w:type="dxa" w:w="100"/>
            </w:tcMar>
          </w:tcPr>
          <w:p>
            <w:pPr>
              <w:spacing w:after="0" w:before="0"/>
            </w:pPr>
            <w:r>
              <w:rPr>
                <w:b w:val="false"/>
                <w:bCs w:val="false"/>
                <w:i w:val="false"/>
                <w:iCs w:val="false"/>
              </w:rPr>
              <w:t xml:space="preserve">10</w:t>
            </w:r>
          </w:p>
        </w:tc>
        <w:tc>
          <w:tcPr>
            <w:tcW w:type="dxa" w:w="378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unit</w:t>
            </w:r>
          </w:p>
        </w:tc>
        <w:tc>
          <w:tcPr>
            <w:tcW w:type="dxa" w:w="2015"/>
            <w:tcMar>
              <w:top w:type="dxa" w:w="60"/>
              <w:left w:type="dxa" w:w="100"/>
              <w:bottom w:type="dxa" w:w="60"/>
              <w:right w:type="dxa" w:w="100"/>
            </w:tcMar>
          </w:tcPr>
          <w:p>
            <w:pPr>
              <w:spacing w:after="0" w:before="0"/>
            </w:pPr>
            <w:r>
              <w:rPr>
                <w:b w:val="false"/>
                <w:bCs w:val="false"/>
                <w:i w:val="false"/>
                <w:iCs w:val="false"/>
              </w:rPr>
              <w:t xml:space="preserve">4, two at each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the primary and secondary sites</w:t>
            </w:r>
          </w:p>
        </w:tc>
      </w:tr>
    </w:tbl>
    <w:p>
      <w:pPr>
        <w:spacing w:after="140"/>
      </w:pPr>
    </w:p>
    <w:p>
      <w:pPr>
        <w:spacing w:after="140" w:line="276"/>
      </w:pPr>
      <w:r>
        <w:rPr>
          <w:b w:val="false"/>
          <w:bCs w:val="false"/>
          <w:i w:val="false"/>
          <w:iCs w:val="false"/>
        </w:rPr>
        <w:t xml:space="preserve">Every host carries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the database hosts carry the clustered database; and the secondary host runs a domain controller, the secondary copy of the database and standby copies of the service virtual machines.</w:t>
      </w:r>
    </w:p>
    <w:p>
      <w:pPr>
        <w:spacing w:after="140" w:line="276"/>
      </w:pPr>
      <w:r>
        <w:rPr>
          <w:b/>
          <w:bCs/>
          <w:i w:val="false"/>
          <w:iCs w:val="false"/>
        </w:rPr>
        <w:t xml:space="preserve">Security and operations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340"/>
        <w:gridCol w:w="3365"/>
        <w:gridCol w:w="2535"/>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336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535"/>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Event volume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full event volume of the estate</w:t>
            </w:r>
          </w:p>
        </w:tc>
        <w:tc>
          <w:tcPr>
            <w:tcW w:type="dxa" w:w="2535"/>
            <w:tcMar>
              <w:top w:type="dxa" w:w="60"/>
              <w:left w:type="dxa" w:w="100"/>
              <w:bottom w:type="dxa" w:w="60"/>
              <w:right w:type="dxa" w:w="100"/>
            </w:tcMar>
          </w:tcPr>
          <w:p>
            <w:pPr>
              <w:spacing w:after="0" w:before="0"/>
            </w:pPr>
            <w:r>
              <w:rPr>
                <w:b w:val="false"/>
                <w:bCs w:val="false"/>
                <w:i w:val="false"/>
                <w:iCs w:val="false"/>
              </w:rPr>
              <w:t xml:space="preserve">Collection and correlation across all sources, and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3365"/>
            <w:tcMar>
              <w:top w:type="dxa" w:w="60"/>
              <w:left w:type="dxa" w:w="100"/>
              <w:bottom w:type="dxa" w:w="60"/>
              <w:right w:type="dxa" w:w="100"/>
            </w:tcMar>
          </w:tcPr>
          <w:p>
            <w:pPr>
              <w:spacing w:after="0" w:before="0"/>
            </w:pPr>
            <w:r>
              <w:rPr>
                <w:b w:val="false"/>
                <w:bCs w:val="false"/>
                <w:i w:val="false"/>
                <w:iCs w:val="false"/>
              </w:rPr>
              <w:t xml:space="preserve">31: the 5 hosts; 16 virtual machines, being the 12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535"/>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535"/>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535"/>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34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3365"/>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monitored node</w:t>
            </w:r>
          </w:p>
        </w:tc>
        <w:tc>
          <w:tcPr>
            <w:tcW w:type="dxa" w:w="3365"/>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c>
          <w:tcPr>
            <w:tcW w:type="dxa" w:w="2535"/>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535"/>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protected workload</w:t>
            </w:r>
          </w:p>
        </w:tc>
        <w:tc>
          <w:tcPr>
            <w:tcW w:type="dxa" w:w="3365"/>
            <w:tcMar>
              <w:top w:type="dxa" w:w="60"/>
              <w:left w:type="dxa" w:w="100"/>
              <w:bottom w:type="dxa" w:w="60"/>
              <w:right w:type="dxa" w:w="100"/>
            </w:tcMar>
          </w:tcPr>
          <w:p>
            <w:pPr>
              <w:spacing w:after="0" w:before="0"/>
            </w:pPr>
            <w:r>
              <w:rPr>
                <w:b w:val="false"/>
                <w:bCs w:val="false"/>
                <w:i w:val="false"/>
                <w:iCs w:val="false"/>
              </w:rPr>
              <w:t xml:space="preserve">12, the production virtual machines at the primary site, with configuration and audit logs, replicated to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34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3365"/>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storage array, 5 switches and 2 firewalls at the primary site, and 1 switch and 1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3365"/>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32"/>
        <w:gridCol w:w="5988"/>
      </w:tblGrid>
      <w:tr>
        <w:trPr>
          <w:tblHeader/>
        </w:trPr>
        <w:tc>
          <w:tcPr>
            <w:tcW w:type="dxa" w:w="3032"/>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88"/>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client access licenses</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88"/>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bulk SMS service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client access licenses, multi-factor authentication, privileged access management</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88"/>
            <w:tcMar>
              <w:top w:type="dxa" w:w="60"/>
              <w:left w:type="dxa" w:w="100"/>
              <w:bottom w:type="dxa" w:w="60"/>
              <w:right w:type="dxa" w:w="100"/>
            </w:tcMar>
          </w:tcPr>
          <w:p>
            <w:pPr>
              <w:spacing w:after="0" w:before="0"/>
            </w:pPr>
            <w:r>
              <w:rPr>
                <w:b w:val="false"/>
                <w:bCs w:val="false"/>
                <w:i w:val="false"/>
                <w:iCs w:val="false"/>
              </w:rPr>
              <w:t xml:space="preserve">Security information and event management, endpoint detection and response, vulnerability scanning</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88"/>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88"/>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93"/>
        <w:gridCol w:w="6227"/>
      </w:tblGrid>
      <w:tr>
        <w:trPr>
          <w:tblHeader/>
        </w:trPr>
        <w:tc>
          <w:tcPr>
            <w:tcW w:type="dxa" w:w="2793"/>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27"/>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Windows Server and client access licenses</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Software Assurance for three years, providing updates, license mobility between the clustered hosts, and failover rights for the passive node and the secondary copy</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Subscriptions: security, operations, firewall, storage array and network device support, and the bulk SMS service</w:t>
            </w:r>
          </w:p>
        </w:tc>
        <w:tc>
          <w:tcPr>
            <w:tcW w:type="dxa" w:w="6227"/>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2026-10-08T08:43:52.221Z</dcterms:created>
  <dcterms:modified xsi:type="dcterms:W3CDTF">2026-10-08T08:43:52.221Z</dcterms:modified>
</cp:coreProperties>
</file>

<file path=docProps/custom.xml><?xml version="1.0" encoding="utf-8"?>
<Properties xmlns="http://schemas.openxmlformats.org/officeDocument/2006/custom-properties" xmlns:vt="http://schemas.openxmlformats.org/officeDocument/2006/docPropsVTypes"/>
</file>