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A382" w14:textId="501164D3" w:rsidR="00CC11D8" w:rsidRPr="00695ED4" w:rsidRDefault="00CC11D8">
      <w:pPr>
        <w:rPr>
          <w:b/>
          <w:bCs/>
          <w:sz w:val="32"/>
          <w:szCs w:val="32"/>
          <w:u w:val="single"/>
        </w:rPr>
      </w:pPr>
      <w:r w:rsidRPr="00695ED4">
        <w:rPr>
          <w:b/>
          <w:bCs/>
          <w:sz w:val="32"/>
          <w:szCs w:val="32"/>
          <w:u w:val="single"/>
        </w:rPr>
        <w:t xml:space="preserve">How should scarce legal service resources be allocated to refugees and asylum seekers? </w:t>
      </w:r>
    </w:p>
    <w:p w14:paraId="647050FF" w14:textId="77777777" w:rsidR="00CC11D8" w:rsidRDefault="00CC11D8"/>
    <w:p w14:paraId="69DE997E" w14:textId="4F16246C" w:rsidR="00A70B15" w:rsidRPr="00695ED4" w:rsidRDefault="00A70B15">
      <w:pPr>
        <w:rPr>
          <w:sz w:val="28"/>
          <w:szCs w:val="28"/>
        </w:rPr>
      </w:pPr>
      <w:r w:rsidRPr="00695ED4">
        <w:rPr>
          <w:sz w:val="28"/>
          <w:szCs w:val="28"/>
        </w:rPr>
        <w:t xml:space="preserve">Gradient Fund </w:t>
      </w:r>
    </w:p>
    <w:p w14:paraId="5CFCE493" w14:textId="54863044" w:rsidR="00A70B15" w:rsidRPr="00695ED4" w:rsidRDefault="00A70B15">
      <w:pPr>
        <w:rPr>
          <w:sz w:val="28"/>
          <w:szCs w:val="28"/>
        </w:rPr>
      </w:pPr>
      <w:r w:rsidRPr="00695ED4">
        <w:rPr>
          <w:sz w:val="28"/>
          <w:szCs w:val="28"/>
        </w:rPr>
        <w:t>Charlene R. Ramos</w:t>
      </w:r>
    </w:p>
    <w:p w14:paraId="774FDA17" w14:textId="1E38DA2E" w:rsidR="00A70B15" w:rsidRPr="00695ED4" w:rsidRDefault="00A70B15">
      <w:pPr>
        <w:rPr>
          <w:sz w:val="28"/>
          <w:szCs w:val="28"/>
        </w:rPr>
      </w:pPr>
      <w:r w:rsidRPr="00695ED4">
        <w:rPr>
          <w:sz w:val="28"/>
          <w:szCs w:val="28"/>
        </w:rPr>
        <w:t>May 11, 2024</w:t>
      </w:r>
    </w:p>
    <w:p w14:paraId="1274E1BB" w14:textId="77777777" w:rsidR="00A70B15" w:rsidRDefault="00A70B15"/>
    <w:p w14:paraId="3B62EFEC" w14:textId="00785430" w:rsidR="00A70B15" w:rsidRPr="00A70B15" w:rsidRDefault="00A70B15" w:rsidP="00A70B15">
      <w:pPr>
        <w:rPr>
          <w:b/>
          <w:bCs/>
          <w:sz w:val="28"/>
          <w:szCs w:val="28"/>
        </w:rPr>
      </w:pPr>
      <w:r w:rsidRPr="00A70B15">
        <w:rPr>
          <w:b/>
          <w:bCs/>
          <w:sz w:val="28"/>
          <w:szCs w:val="28"/>
        </w:rPr>
        <w:t>Introduction</w:t>
      </w:r>
    </w:p>
    <w:p w14:paraId="54C241CB" w14:textId="77777777" w:rsidR="00A70B15" w:rsidRDefault="00A70B15">
      <w:pPr>
        <w:rPr>
          <w:sz w:val="28"/>
          <w:szCs w:val="28"/>
          <w:u w:val="single"/>
        </w:rPr>
      </w:pPr>
    </w:p>
    <w:p w14:paraId="3DE80CC4" w14:textId="3AD33C6F" w:rsidR="00CC11D8" w:rsidRPr="00695ED4" w:rsidRDefault="00A70B15">
      <w:pPr>
        <w:rPr>
          <w:b/>
          <w:bCs/>
          <w:sz w:val="28"/>
          <w:szCs w:val="28"/>
        </w:rPr>
      </w:pPr>
      <w:r w:rsidRPr="00695ED4">
        <w:rPr>
          <w:b/>
          <w:bCs/>
          <w:sz w:val="28"/>
          <w:szCs w:val="28"/>
        </w:rPr>
        <w:t>Literature Review</w:t>
      </w:r>
    </w:p>
    <w:p w14:paraId="51711D12" w14:textId="77777777" w:rsidR="00FA4385" w:rsidRDefault="00FA4385"/>
    <w:p w14:paraId="36682A12" w14:textId="344B4F5E" w:rsidR="00800EF6" w:rsidRPr="009E1EF9" w:rsidRDefault="00800EF6">
      <w:pPr>
        <w:rPr>
          <w:sz w:val="26"/>
          <w:szCs w:val="26"/>
        </w:rPr>
      </w:pPr>
      <w:r w:rsidRPr="009E1EF9">
        <w:rPr>
          <w:sz w:val="26"/>
          <w:szCs w:val="26"/>
        </w:rPr>
        <w:t xml:space="preserve">Björkegren, Daniel, Joshua E. Blumenstock, and Samsun Knight. “(Machine) Learning What Policies Value.” June 3, 2022, accessed May 11, 2024 at </w:t>
      </w:r>
      <w:hyperlink r:id="rId7" w:history="1">
        <w:r w:rsidRPr="009E1EF9">
          <w:rPr>
            <w:rStyle w:val="Hyperlink"/>
            <w:sz w:val="26"/>
            <w:szCs w:val="26"/>
          </w:rPr>
          <w:t>https://arxiv.org/pdf/2206.00727</w:t>
        </w:r>
      </w:hyperlink>
      <w:r w:rsidRPr="009E1EF9">
        <w:rPr>
          <w:sz w:val="26"/>
          <w:szCs w:val="26"/>
        </w:rPr>
        <w:t xml:space="preserve">. </w:t>
      </w:r>
    </w:p>
    <w:p w14:paraId="31F2A0D2" w14:textId="77777777" w:rsidR="00800EF6" w:rsidRDefault="00800EF6"/>
    <w:p w14:paraId="0745F6D2" w14:textId="7E1F7B46" w:rsidR="00782C97" w:rsidRDefault="00782C97" w:rsidP="00782C97">
      <w:pPr>
        <w:pStyle w:val="ListParagraph"/>
        <w:numPr>
          <w:ilvl w:val="0"/>
          <w:numId w:val="1"/>
        </w:numPr>
      </w:pPr>
      <w:r>
        <w:t>Research Question: How to use machine learning to estimate how much individuals benefit from anti-poverty intervention</w:t>
      </w:r>
    </w:p>
    <w:p w14:paraId="4EB1428D" w14:textId="3123045A" w:rsidR="00782C97" w:rsidRDefault="00782C97" w:rsidP="00782C97">
      <w:pPr>
        <w:pStyle w:val="ListParagraph"/>
        <w:numPr>
          <w:ilvl w:val="0"/>
          <w:numId w:val="1"/>
        </w:numPr>
      </w:pPr>
      <w:r>
        <w:t>Data from Mexico’s PROGRESA anti-poverty program (large conditional cash transfer program in Mexico)</w:t>
      </w:r>
    </w:p>
    <w:p w14:paraId="2459CA84" w14:textId="186F0D87" w:rsidR="00782C97" w:rsidRDefault="00782C97" w:rsidP="00782C97">
      <w:pPr>
        <w:pStyle w:val="ListParagraph"/>
        <w:numPr>
          <w:ilvl w:val="0"/>
          <w:numId w:val="3"/>
        </w:numPr>
      </w:pPr>
      <w:r>
        <w:t>Standard household survey conducted in October 1998 (baseline) and November 1999 (endline): household demographics, socioeconomic characteristics, health care utilization, educational attendance for 14,333 household</w:t>
      </w:r>
      <w:r w:rsidR="002A1E72">
        <w:t>s</w:t>
      </w:r>
    </w:p>
    <w:p w14:paraId="16BEAF4D" w14:textId="51C0971A" w:rsidR="00782C97" w:rsidRDefault="00782C97" w:rsidP="00782C97">
      <w:pPr>
        <w:pStyle w:val="ListParagraph"/>
        <w:numPr>
          <w:ilvl w:val="0"/>
          <w:numId w:val="3"/>
        </w:numPr>
      </w:pPr>
      <w:r>
        <w:t xml:space="preserve">Survey conducted in 2021 by authors to understand preferences of Mexican residents over how households should be prioritized for social assistance. Sample of 315 Mexican residents to elicit preferences for which types of households should receive transfers, and what types of program impacts were most desirable. </w:t>
      </w:r>
    </w:p>
    <w:p w14:paraId="6D3624B7" w14:textId="276AC943" w:rsidR="00782C97" w:rsidRDefault="00782C97" w:rsidP="00782C97">
      <w:pPr>
        <w:pStyle w:val="ListParagraph"/>
        <w:numPr>
          <w:ilvl w:val="0"/>
          <w:numId w:val="1"/>
        </w:numPr>
      </w:pPr>
      <w:r>
        <w:t xml:space="preserve">Conclusion:  </w:t>
      </w:r>
    </w:p>
    <w:p w14:paraId="54CD8949" w14:textId="77777777" w:rsidR="00782C97" w:rsidRDefault="00782C97"/>
    <w:p w14:paraId="02A3DCEB" w14:textId="57B469D9" w:rsidR="00066B49" w:rsidRPr="00066B49" w:rsidRDefault="00066B49">
      <w:pPr>
        <w:rPr>
          <w:sz w:val="26"/>
          <w:szCs w:val="26"/>
        </w:rPr>
      </w:pPr>
      <w:r w:rsidRPr="00066B49">
        <w:rPr>
          <w:sz w:val="26"/>
          <w:szCs w:val="26"/>
        </w:rPr>
        <w:t xml:space="preserve">Congressional Budget Office. </w:t>
      </w:r>
      <w:r w:rsidRPr="00066B49">
        <w:rPr>
          <w:i/>
          <w:iCs/>
          <w:sz w:val="26"/>
          <w:szCs w:val="26"/>
        </w:rPr>
        <w:t xml:space="preserve">The Demographic Outlook: 2024 to 2054. </w:t>
      </w:r>
      <w:r w:rsidRPr="00066B49">
        <w:rPr>
          <w:sz w:val="26"/>
          <w:szCs w:val="26"/>
        </w:rPr>
        <w:t xml:space="preserve">January 2024, accessed May 11, 2024 at </w:t>
      </w:r>
      <w:hyperlink r:id="rId8" w:history="1">
        <w:r w:rsidRPr="00C83964">
          <w:rPr>
            <w:rStyle w:val="Hyperlink"/>
            <w:sz w:val="26"/>
            <w:szCs w:val="26"/>
          </w:rPr>
          <w:t>https://tinyurl.com/37zcmst9</w:t>
        </w:r>
      </w:hyperlink>
      <w:r>
        <w:rPr>
          <w:sz w:val="26"/>
          <w:szCs w:val="26"/>
        </w:rPr>
        <w:t xml:space="preserve">. </w:t>
      </w:r>
    </w:p>
    <w:p w14:paraId="46FDC4AC" w14:textId="77777777" w:rsidR="00066B49" w:rsidRDefault="00066B49"/>
    <w:p w14:paraId="6AEB6523" w14:textId="6BAF02C7" w:rsidR="00066B49" w:rsidRDefault="00066B49" w:rsidP="00066B49">
      <w:pPr>
        <w:pStyle w:val="ListParagraph"/>
        <w:numPr>
          <w:ilvl w:val="0"/>
          <w:numId w:val="1"/>
        </w:numPr>
      </w:pPr>
      <w:r>
        <w:t xml:space="preserve">Research Question: </w:t>
      </w:r>
    </w:p>
    <w:p w14:paraId="32E8031A" w14:textId="280704E5" w:rsidR="00066B49" w:rsidRDefault="00066B49" w:rsidP="00066B49">
      <w:pPr>
        <w:pStyle w:val="ListParagraph"/>
        <w:numPr>
          <w:ilvl w:val="0"/>
          <w:numId w:val="1"/>
        </w:numPr>
      </w:pPr>
      <w:r>
        <w:t>Data from Department of Homeland Security and Census Bureau</w:t>
      </w:r>
    </w:p>
    <w:p w14:paraId="0457F361" w14:textId="6B208AFB" w:rsidR="00066B49" w:rsidRDefault="00066B49" w:rsidP="00066B49">
      <w:pPr>
        <w:pStyle w:val="ListParagraph"/>
        <w:numPr>
          <w:ilvl w:val="0"/>
          <w:numId w:val="1"/>
        </w:numPr>
      </w:pPr>
      <w:r>
        <w:t xml:space="preserve">Conclusion:  </w:t>
      </w:r>
    </w:p>
    <w:p w14:paraId="24FF22EB" w14:textId="77777777" w:rsidR="00066B49" w:rsidRDefault="00066B49"/>
    <w:p w14:paraId="57798BD2" w14:textId="1F16125A" w:rsidR="00FA4385" w:rsidRPr="009E1EF9" w:rsidRDefault="00FA4385">
      <w:pPr>
        <w:rPr>
          <w:sz w:val="26"/>
          <w:szCs w:val="26"/>
        </w:rPr>
      </w:pPr>
      <w:r w:rsidRPr="009E1EF9">
        <w:rPr>
          <w:sz w:val="26"/>
          <w:szCs w:val="26"/>
        </w:rPr>
        <w:t xml:space="preserve">Dunn et al. “Early Predictability of Asylum Court Decisions.” </w:t>
      </w:r>
      <w:r w:rsidR="00800EF6" w:rsidRPr="009E1EF9">
        <w:rPr>
          <w:sz w:val="26"/>
          <w:szCs w:val="26"/>
        </w:rPr>
        <w:t>Proceedings of the 16</w:t>
      </w:r>
      <w:r w:rsidR="00800EF6" w:rsidRPr="009E1EF9">
        <w:rPr>
          <w:sz w:val="26"/>
          <w:szCs w:val="26"/>
          <w:vertAlign w:val="superscript"/>
        </w:rPr>
        <w:t>th</w:t>
      </w:r>
      <w:r w:rsidR="00800EF6" w:rsidRPr="009E1EF9">
        <w:rPr>
          <w:sz w:val="26"/>
          <w:szCs w:val="26"/>
        </w:rPr>
        <w:t xml:space="preserve"> edition of the International Conference on Artificial Intelligence and Law, June 2017, at pp. 233–236, accessed May 11, 2024 at </w:t>
      </w:r>
      <w:hyperlink r:id="rId9" w:history="1">
        <w:r w:rsidR="00800EF6" w:rsidRPr="009E1EF9">
          <w:rPr>
            <w:rStyle w:val="Hyperlink"/>
            <w:sz w:val="26"/>
            <w:szCs w:val="26"/>
          </w:rPr>
          <w:t>https://tinyurl.com/mpjt4sb5</w:t>
        </w:r>
      </w:hyperlink>
      <w:r w:rsidR="00800EF6" w:rsidRPr="009E1EF9">
        <w:rPr>
          <w:sz w:val="26"/>
          <w:szCs w:val="26"/>
        </w:rPr>
        <w:t xml:space="preserve">. </w:t>
      </w:r>
    </w:p>
    <w:p w14:paraId="2C6D7BC9" w14:textId="77777777" w:rsidR="00FA4385" w:rsidRDefault="00FA4385"/>
    <w:p w14:paraId="22E7AF91" w14:textId="0842F02F" w:rsidR="00782C97" w:rsidRDefault="00782C97" w:rsidP="00782C97">
      <w:pPr>
        <w:pStyle w:val="ListParagraph"/>
        <w:numPr>
          <w:ilvl w:val="0"/>
          <w:numId w:val="1"/>
        </w:numPr>
      </w:pPr>
      <w:r>
        <w:lastRenderedPageBreak/>
        <w:t xml:space="preserve">Research Question: </w:t>
      </w:r>
      <w:r w:rsidR="00FA7648">
        <w:t>How to use machine learning to predict judges’ decisions in asylum court decisions</w:t>
      </w:r>
    </w:p>
    <w:p w14:paraId="2D4722A5" w14:textId="4E820215" w:rsidR="00782C97" w:rsidRDefault="00782C97" w:rsidP="00782C97">
      <w:pPr>
        <w:pStyle w:val="ListParagraph"/>
        <w:numPr>
          <w:ilvl w:val="0"/>
          <w:numId w:val="1"/>
        </w:numPr>
      </w:pPr>
      <w:r>
        <w:t>Data</w:t>
      </w:r>
      <w:r w:rsidR="00FA7648">
        <w:t xml:space="preserve"> from the Executive Office for Immigration Review (EOIR) which issues notice to appear (NTAs): final application decision, language spoken by the applicant, nationality of the applicant, base city, attorney, date of the NTA, hearing location, case type, judge features such as gender and work history</w:t>
      </w:r>
    </w:p>
    <w:p w14:paraId="6938C591" w14:textId="01107CF4" w:rsidR="00782C97" w:rsidRDefault="00782C97" w:rsidP="00782C97">
      <w:pPr>
        <w:pStyle w:val="ListParagraph"/>
        <w:numPr>
          <w:ilvl w:val="0"/>
          <w:numId w:val="1"/>
        </w:numPr>
      </w:pPr>
      <w:r>
        <w:t xml:space="preserve">Conclusion: </w:t>
      </w:r>
    </w:p>
    <w:p w14:paraId="209F8616" w14:textId="77777777" w:rsidR="00782C97" w:rsidRDefault="00782C97"/>
    <w:p w14:paraId="56407638" w14:textId="03522FCC" w:rsidR="00FA4385" w:rsidRPr="009E1EF9" w:rsidRDefault="00FA4385">
      <w:pPr>
        <w:rPr>
          <w:sz w:val="26"/>
          <w:szCs w:val="26"/>
        </w:rPr>
      </w:pPr>
      <w:r w:rsidRPr="009E1EF9">
        <w:rPr>
          <w:sz w:val="26"/>
          <w:szCs w:val="26"/>
        </w:rPr>
        <w:t xml:space="preserve">Greiner, D. James and Cassandra Wollos Pattanayak. “Randomized Evaluation in Legal Assistance: What Difference Does Representation (Offer and Actual Use) Make?” </w:t>
      </w:r>
      <w:r w:rsidRPr="009E1EF9">
        <w:rPr>
          <w:i/>
          <w:iCs/>
          <w:sz w:val="26"/>
          <w:szCs w:val="26"/>
        </w:rPr>
        <w:t>Yale Law Journal</w:t>
      </w:r>
      <w:r w:rsidRPr="009E1EF9">
        <w:rPr>
          <w:sz w:val="26"/>
          <w:szCs w:val="26"/>
        </w:rPr>
        <w:t xml:space="preserve"> 121, no. 8 (June 2012): 2118–2214, accessed May 11, 2024 at </w:t>
      </w:r>
      <w:hyperlink r:id="rId10" w:history="1">
        <w:r w:rsidR="00800EF6" w:rsidRPr="009E1EF9">
          <w:rPr>
            <w:rStyle w:val="Hyperlink"/>
            <w:sz w:val="26"/>
            <w:szCs w:val="26"/>
          </w:rPr>
          <w:t>https://tinyurl.com/m3e27cbm</w:t>
        </w:r>
      </w:hyperlink>
      <w:r w:rsidR="00800EF6" w:rsidRPr="009E1EF9">
        <w:rPr>
          <w:sz w:val="26"/>
          <w:szCs w:val="26"/>
        </w:rPr>
        <w:t xml:space="preserve">. </w:t>
      </w:r>
    </w:p>
    <w:p w14:paraId="52BFF2BC" w14:textId="77777777" w:rsidR="00782C97" w:rsidRDefault="00782C97"/>
    <w:p w14:paraId="155716F2" w14:textId="7F193E9A" w:rsidR="00782C97" w:rsidRDefault="00782C97" w:rsidP="00782C97">
      <w:pPr>
        <w:pStyle w:val="ListParagraph"/>
        <w:numPr>
          <w:ilvl w:val="0"/>
          <w:numId w:val="1"/>
        </w:numPr>
      </w:pPr>
      <w:r>
        <w:t xml:space="preserve">Research Question: </w:t>
      </w:r>
      <w:r w:rsidR="00FA7648">
        <w:t>Does legal representation make a difference for low-income clients in civil cases</w:t>
      </w:r>
      <w:r w:rsidR="002A1E72">
        <w:t>?</w:t>
      </w:r>
    </w:p>
    <w:p w14:paraId="49180ECA" w14:textId="4CF42E7E" w:rsidR="00782C97" w:rsidRDefault="00782C97" w:rsidP="00782C97">
      <w:pPr>
        <w:pStyle w:val="ListParagraph"/>
        <w:numPr>
          <w:ilvl w:val="0"/>
          <w:numId w:val="1"/>
        </w:numPr>
      </w:pPr>
      <w:r>
        <w:t>Data</w:t>
      </w:r>
      <w:r w:rsidR="00B30708">
        <w:t xml:space="preserve"> from Harvard Legal Aid Bureau</w:t>
      </w:r>
    </w:p>
    <w:p w14:paraId="4B0B8E18" w14:textId="52919D26" w:rsidR="00782C97" w:rsidRDefault="00782C97" w:rsidP="00782C97">
      <w:pPr>
        <w:pStyle w:val="ListParagraph"/>
        <w:numPr>
          <w:ilvl w:val="0"/>
          <w:numId w:val="1"/>
        </w:numPr>
      </w:pPr>
      <w:r>
        <w:t xml:space="preserve">Conclusion: </w:t>
      </w:r>
    </w:p>
    <w:p w14:paraId="54FD9227" w14:textId="77777777" w:rsidR="00FA4385" w:rsidRDefault="00FA4385"/>
    <w:p w14:paraId="28D87A17" w14:textId="20659CC7" w:rsidR="00782C97" w:rsidRPr="009E1EF9" w:rsidRDefault="00FA4385">
      <w:pPr>
        <w:rPr>
          <w:sz w:val="26"/>
          <w:szCs w:val="26"/>
        </w:rPr>
      </w:pPr>
      <w:r w:rsidRPr="009E1EF9">
        <w:rPr>
          <w:sz w:val="26"/>
          <w:szCs w:val="26"/>
        </w:rPr>
        <w:t xml:space="preserve">Greiner, D. James. “What We Know and Need to Know about Outreach and Intake by Legal Services Providers.” </w:t>
      </w:r>
      <w:r w:rsidRPr="009E1EF9">
        <w:rPr>
          <w:i/>
          <w:iCs/>
          <w:sz w:val="26"/>
          <w:szCs w:val="26"/>
        </w:rPr>
        <w:t>South Carolina Law Review</w:t>
      </w:r>
      <w:r w:rsidRPr="009E1EF9">
        <w:rPr>
          <w:sz w:val="26"/>
          <w:szCs w:val="26"/>
        </w:rPr>
        <w:t xml:space="preserve"> 67, no. 2 (Winter 2016): 287–294, accessed May 11, 2024 at </w:t>
      </w:r>
      <w:hyperlink r:id="rId11" w:history="1">
        <w:r w:rsidRPr="009E1EF9">
          <w:rPr>
            <w:rStyle w:val="Hyperlink"/>
            <w:sz w:val="26"/>
            <w:szCs w:val="26"/>
          </w:rPr>
          <w:t>https://scholarcommons.sc.edu/sclr/vol67/iss2/8/</w:t>
        </w:r>
      </w:hyperlink>
      <w:r w:rsidRPr="009E1EF9">
        <w:rPr>
          <w:sz w:val="26"/>
          <w:szCs w:val="26"/>
        </w:rPr>
        <w:t xml:space="preserve">. </w:t>
      </w:r>
    </w:p>
    <w:p w14:paraId="23BDE82D" w14:textId="77777777" w:rsidR="00782C97" w:rsidRDefault="00782C97"/>
    <w:p w14:paraId="6CFDE784" w14:textId="18F21416" w:rsidR="00782C97" w:rsidRDefault="00782C97" w:rsidP="00782C97">
      <w:pPr>
        <w:pStyle w:val="ListParagraph"/>
        <w:numPr>
          <w:ilvl w:val="0"/>
          <w:numId w:val="1"/>
        </w:numPr>
      </w:pPr>
      <w:r>
        <w:t xml:space="preserve">Research Question: </w:t>
      </w:r>
      <w:r w:rsidR="002A1E72">
        <w:t xml:space="preserve">What is the role of legal services providers in increasing access to justice? </w:t>
      </w:r>
    </w:p>
    <w:p w14:paraId="63A79256" w14:textId="7D3E4093" w:rsidR="00782C97" w:rsidRDefault="00782C97" w:rsidP="00782C97">
      <w:pPr>
        <w:pStyle w:val="ListParagraph"/>
        <w:numPr>
          <w:ilvl w:val="0"/>
          <w:numId w:val="1"/>
        </w:numPr>
      </w:pPr>
      <w:r>
        <w:t>Data</w:t>
      </w:r>
      <w:r w:rsidR="002A1E72">
        <w:t>: N/A</w:t>
      </w:r>
    </w:p>
    <w:p w14:paraId="4388AA66" w14:textId="56B2B20E" w:rsidR="00782C97" w:rsidRDefault="00782C97" w:rsidP="00782C97">
      <w:pPr>
        <w:pStyle w:val="ListParagraph"/>
        <w:numPr>
          <w:ilvl w:val="0"/>
          <w:numId w:val="1"/>
        </w:numPr>
      </w:pPr>
      <w:r>
        <w:t xml:space="preserve">Conclusion: </w:t>
      </w:r>
    </w:p>
    <w:p w14:paraId="14B3D334" w14:textId="77777777" w:rsidR="00FA4385" w:rsidRDefault="00FA4385"/>
    <w:p w14:paraId="5B6D3481" w14:textId="72EBEB8E" w:rsidR="00800EF6" w:rsidRPr="009E1EF9" w:rsidRDefault="00800EF6">
      <w:pPr>
        <w:rPr>
          <w:sz w:val="26"/>
          <w:szCs w:val="26"/>
        </w:rPr>
      </w:pPr>
      <w:r w:rsidRPr="009E1EF9">
        <w:rPr>
          <w:sz w:val="26"/>
          <w:szCs w:val="26"/>
        </w:rPr>
        <w:t xml:space="preserve">Hainmueller et al. “Protecting Unauthorized Immigrant Mothers Improves their Children’s Mental Health.” </w:t>
      </w:r>
      <w:r w:rsidRPr="009E1EF9">
        <w:rPr>
          <w:i/>
          <w:iCs/>
          <w:sz w:val="26"/>
          <w:szCs w:val="26"/>
        </w:rPr>
        <w:t>Science</w:t>
      </w:r>
      <w:r w:rsidRPr="009E1EF9">
        <w:rPr>
          <w:sz w:val="26"/>
          <w:szCs w:val="26"/>
        </w:rPr>
        <w:t xml:space="preserve"> 357, no. 6355 (August 31, 2017): 1041–1044, accessed May 11, 2024 at </w:t>
      </w:r>
      <w:hyperlink r:id="rId12" w:history="1">
        <w:r w:rsidR="00782C97" w:rsidRPr="009E1EF9">
          <w:rPr>
            <w:rStyle w:val="Hyperlink"/>
            <w:sz w:val="26"/>
            <w:szCs w:val="26"/>
          </w:rPr>
          <w:t>https://www.science.org/doi/10.1126/science.aan5893</w:t>
        </w:r>
      </w:hyperlink>
      <w:r w:rsidR="00782C97" w:rsidRPr="009E1EF9">
        <w:rPr>
          <w:sz w:val="26"/>
          <w:szCs w:val="26"/>
        </w:rPr>
        <w:t xml:space="preserve">. </w:t>
      </w:r>
    </w:p>
    <w:p w14:paraId="3D34D39A" w14:textId="77777777" w:rsidR="00782C97" w:rsidRDefault="00782C97"/>
    <w:p w14:paraId="2E3C2C7E" w14:textId="77777777" w:rsidR="00782C97" w:rsidRDefault="00782C97" w:rsidP="00782C97">
      <w:pPr>
        <w:pStyle w:val="ListParagraph"/>
        <w:numPr>
          <w:ilvl w:val="0"/>
          <w:numId w:val="1"/>
        </w:numPr>
      </w:pPr>
      <w:r>
        <w:t xml:space="preserve">Research Question: </w:t>
      </w:r>
    </w:p>
    <w:p w14:paraId="5583BB48" w14:textId="2AC1A215" w:rsidR="00782C97" w:rsidRDefault="00782C97" w:rsidP="00782C97">
      <w:pPr>
        <w:pStyle w:val="ListParagraph"/>
        <w:numPr>
          <w:ilvl w:val="0"/>
          <w:numId w:val="1"/>
        </w:numPr>
      </w:pPr>
      <w:r>
        <w:t>Data</w:t>
      </w:r>
      <w:r w:rsidR="002A1E72">
        <w:t xml:space="preserve"> from </w:t>
      </w:r>
      <w:r w:rsidR="00802FBB">
        <w:t xml:space="preserve">Department of Health Analytics at the Oregon Health Authority for </w:t>
      </w:r>
      <w:r w:rsidR="002A1E72">
        <w:t xml:space="preserve">Emergency Medicaid (Government program that provides coverage for emergencies and labor and delivery services for low-income individuals who are not eligible for Medicaid. The program mainly serves unauthorized immigrants, but lawful permanent residents with less than 5 years of residency can also obtain coverage.) </w:t>
      </w:r>
    </w:p>
    <w:p w14:paraId="344DF852" w14:textId="597C2E23" w:rsidR="00782C97" w:rsidRPr="00800EF6" w:rsidRDefault="00782C97" w:rsidP="009E1EF9">
      <w:pPr>
        <w:pStyle w:val="ListParagraph"/>
        <w:numPr>
          <w:ilvl w:val="0"/>
          <w:numId w:val="1"/>
        </w:numPr>
      </w:pPr>
      <w:r>
        <w:t xml:space="preserve">Conclusion: </w:t>
      </w:r>
    </w:p>
    <w:p w14:paraId="74F8C514" w14:textId="77777777" w:rsidR="00800EF6" w:rsidRDefault="00800EF6"/>
    <w:p w14:paraId="3AD693BF" w14:textId="77777777" w:rsidR="00FA4385" w:rsidRPr="009E1EF9" w:rsidRDefault="00FA4385" w:rsidP="00FA4385">
      <w:pPr>
        <w:rPr>
          <w:sz w:val="26"/>
          <w:szCs w:val="26"/>
        </w:rPr>
      </w:pPr>
      <w:r w:rsidRPr="009E1EF9">
        <w:rPr>
          <w:sz w:val="26"/>
          <w:szCs w:val="26"/>
        </w:rPr>
        <w:t xml:space="preserve">Haushofer et al. “Targeting Impact versus Deprivation.” National Bureau of Economic Research, Working Paper Series, June 2022, accessed May 11, 2024 at </w:t>
      </w:r>
      <w:hyperlink r:id="rId13" w:history="1">
        <w:r w:rsidRPr="009E1EF9">
          <w:rPr>
            <w:rStyle w:val="Hyperlink"/>
            <w:sz w:val="26"/>
            <w:szCs w:val="26"/>
          </w:rPr>
          <w:t>https://www.nber.org/papers/w30138</w:t>
        </w:r>
      </w:hyperlink>
      <w:r w:rsidRPr="009E1EF9">
        <w:rPr>
          <w:sz w:val="26"/>
          <w:szCs w:val="26"/>
        </w:rPr>
        <w:t xml:space="preserve">. </w:t>
      </w:r>
    </w:p>
    <w:p w14:paraId="37FFAA88" w14:textId="77777777" w:rsidR="00782C97" w:rsidRDefault="00782C97" w:rsidP="00FA4385"/>
    <w:p w14:paraId="1A694E26" w14:textId="77777777" w:rsidR="00782C97" w:rsidRDefault="00782C97" w:rsidP="00782C97">
      <w:pPr>
        <w:pStyle w:val="ListParagraph"/>
        <w:numPr>
          <w:ilvl w:val="0"/>
          <w:numId w:val="1"/>
        </w:numPr>
      </w:pPr>
      <w:r>
        <w:t xml:space="preserve">Research Question: </w:t>
      </w:r>
    </w:p>
    <w:p w14:paraId="7216EAD8" w14:textId="36D230A4" w:rsidR="002A1E72" w:rsidRDefault="00782C97" w:rsidP="002A1E72">
      <w:pPr>
        <w:pStyle w:val="ListParagraph"/>
        <w:numPr>
          <w:ilvl w:val="0"/>
          <w:numId w:val="1"/>
        </w:numPr>
      </w:pPr>
      <w:r>
        <w:t>Data</w:t>
      </w:r>
      <w:r w:rsidR="002A1E72">
        <w:t xml:space="preserve"> from GiveDirectly, originally from the Government of Kenya’s Single Registry for Social Protection</w:t>
      </w:r>
    </w:p>
    <w:p w14:paraId="18EDC79F" w14:textId="5DBB38C0" w:rsidR="002A1E72" w:rsidRDefault="007845E1" w:rsidP="002A1E72">
      <w:pPr>
        <w:pStyle w:val="ListParagraph"/>
        <w:numPr>
          <w:ilvl w:val="0"/>
          <w:numId w:val="4"/>
        </w:numPr>
      </w:pPr>
      <w:r>
        <w:t>Baseline household census in all villages</w:t>
      </w:r>
    </w:p>
    <w:p w14:paraId="57FFFAAD" w14:textId="2558EFC1" w:rsidR="002A1E72" w:rsidRDefault="007845E1" w:rsidP="002A1E72">
      <w:pPr>
        <w:pStyle w:val="ListParagraph"/>
        <w:numPr>
          <w:ilvl w:val="0"/>
          <w:numId w:val="4"/>
        </w:numPr>
      </w:pPr>
      <w:r>
        <w:t>Baseline household surveys</w:t>
      </w:r>
    </w:p>
    <w:p w14:paraId="757301E2" w14:textId="60EC582C" w:rsidR="007845E1" w:rsidRDefault="007845E1" w:rsidP="002A1E72">
      <w:pPr>
        <w:pStyle w:val="ListParagraph"/>
        <w:numPr>
          <w:ilvl w:val="0"/>
          <w:numId w:val="4"/>
        </w:numPr>
      </w:pPr>
      <w:r>
        <w:t>Endline household surveys</w:t>
      </w:r>
    </w:p>
    <w:p w14:paraId="5B2AB241" w14:textId="77777777" w:rsidR="00782C97" w:rsidRDefault="00782C97" w:rsidP="00782C97">
      <w:pPr>
        <w:pStyle w:val="ListParagraph"/>
        <w:numPr>
          <w:ilvl w:val="0"/>
          <w:numId w:val="1"/>
        </w:numPr>
      </w:pPr>
      <w:r>
        <w:t xml:space="preserve">Conclusion: </w:t>
      </w:r>
    </w:p>
    <w:p w14:paraId="69965634" w14:textId="77777777" w:rsidR="00FA4385" w:rsidRDefault="00FA4385"/>
    <w:p w14:paraId="74133768" w14:textId="3B2BC1BF" w:rsidR="005A7F85" w:rsidRDefault="005A7F85" w:rsidP="00FA4385">
      <w:pPr>
        <w:rPr>
          <w:sz w:val="26"/>
          <w:szCs w:val="26"/>
        </w:rPr>
      </w:pPr>
      <w:r>
        <w:rPr>
          <w:sz w:val="26"/>
          <w:szCs w:val="26"/>
        </w:rPr>
        <w:t xml:space="preserve">Hunt, Will. “Reshoring Chipmaking Capacity Requires High-Skilled Foreign Talent.” Center for Security and Emerging Technology, February 2022, accessed May 11, 2024 at </w:t>
      </w:r>
      <w:hyperlink r:id="rId14" w:history="1">
        <w:r w:rsidRPr="00C83964">
          <w:rPr>
            <w:rStyle w:val="Hyperlink"/>
            <w:sz w:val="26"/>
            <w:szCs w:val="26"/>
          </w:rPr>
          <w:t>https://doi.org/10.51593/20210065</w:t>
        </w:r>
      </w:hyperlink>
      <w:r>
        <w:rPr>
          <w:sz w:val="26"/>
          <w:szCs w:val="26"/>
        </w:rPr>
        <w:t xml:space="preserve">. </w:t>
      </w:r>
    </w:p>
    <w:p w14:paraId="0BA964A6" w14:textId="77777777" w:rsidR="005A7F85" w:rsidRDefault="005A7F85" w:rsidP="00FA4385">
      <w:pPr>
        <w:rPr>
          <w:sz w:val="26"/>
          <w:szCs w:val="26"/>
        </w:rPr>
      </w:pPr>
    </w:p>
    <w:p w14:paraId="6CFA0D46" w14:textId="20417EC7" w:rsidR="00FA4385" w:rsidRPr="009E1EF9" w:rsidRDefault="00FA4385" w:rsidP="00FA4385">
      <w:pPr>
        <w:rPr>
          <w:sz w:val="26"/>
          <w:szCs w:val="26"/>
        </w:rPr>
      </w:pPr>
      <w:r w:rsidRPr="009E1EF9">
        <w:rPr>
          <w:sz w:val="26"/>
          <w:szCs w:val="26"/>
        </w:rPr>
        <w:t xml:space="preserve">Transactional Records Access Clearinghouse. “Too Few Immigration Attorneys: Average Representation Rates Fall from 65% to 30%.” January 24, 2024, accessed May 11, 2024 at </w:t>
      </w:r>
      <w:hyperlink r:id="rId15" w:history="1">
        <w:r w:rsidRPr="009E1EF9">
          <w:rPr>
            <w:rStyle w:val="Hyperlink"/>
            <w:sz w:val="26"/>
            <w:szCs w:val="26"/>
          </w:rPr>
          <w:t>https://trac.syr.edu/reports/736/</w:t>
        </w:r>
      </w:hyperlink>
      <w:r w:rsidRPr="009E1EF9">
        <w:rPr>
          <w:sz w:val="26"/>
          <w:szCs w:val="26"/>
        </w:rPr>
        <w:t xml:space="preserve">. </w:t>
      </w:r>
    </w:p>
    <w:p w14:paraId="6C9CD2BC" w14:textId="77777777" w:rsidR="00782C97" w:rsidRDefault="00782C97" w:rsidP="00FA4385"/>
    <w:p w14:paraId="446D6FA0" w14:textId="77777777" w:rsidR="00782C97" w:rsidRDefault="00782C97" w:rsidP="00782C97">
      <w:pPr>
        <w:pStyle w:val="ListParagraph"/>
        <w:numPr>
          <w:ilvl w:val="0"/>
          <w:numId w:val="1"/>
        </w:numPr>
      </w:pPr>
      <w:r>
        <w:t xml:space="preserve">Research Question: </w:t>
      </w:r>
    </w:p>
    <w:p w14:paraId="356019C7" w14:textId="2E5155E2" w:rsidR="00782C97" w:rsidRDefault="00782C97" w:rsidP="00782C97">
      <w:pPr>
        <w:pStyle w:val="ListParagraph"/>
        <w:numPr>
          <w:ilvl w:val="0"/>
          <w:numId w:val="1"/>
        </w:numPr>
      </w:pPr>
      <w:r>
        <w:t>Data</w:t>
      </w:r>
      <w:r w:rsidR="00CD388E">
        <w:t xml:space="preserve"> from TRAC Immigration (nonpartisan, nonprofit data research center affiliated with Syracuse University)</w:t>
      </w:r>
    </w:p>
    <w:p w14:paraId="70A9A468" w14:textId="12273065" w:rsidR="00FA4385" w:rsidRDefault="00782C97" w:rsidP="00CD388E">
      <w:pPr>
        <w:pStyle w:val="ListParagraph"/>
        <w:numPr>
          <w:ilvl w:val="0"/>
          <w:numId w:val="1"/>
        </w:numPr>
      </w:pPr>
      <w:r>
        <w:t xml:space="preserve">Conclusion: </w:t>
      </w:r>
    </w:p>
    <w:p w14:paraId="320A3589" w14:textId="77777777" w:rsidR="009E1EF9" w:rsidRDefault="009E1EF9"/>
    <w:p w14:paraId="45A750AF" w14:textId="1EDABE14" w:rsidR="009E1EF9" w:rsidRPr="00695ED4" w:rsidRDefault="009E1EF9">
      <w:pPr>
        <w:rPr>
          <w:b/>
          <w:bCs/>
          <w:sz w:val="28"/>
          <w:szCs w:val="28"/>
        </w:rPr>
      </w:pPr>
      <w:r w:rsidRPr="00695ED4">
        <w:rPr>
          <w:b/>
          <w:bCs/>
          <w:sz w:val="28"/>
          <w:szCs w:val="28"/>
        </w:rPr>
        <w:t>Data</w:t>
      </w:r>
    </w:p>
    <w:p w14:paraId="06B4F224" w14:textId="77777777" w:rsidR="00066B49" w:rsidRDefault="00066B49">
      <w:pPr>
        <w:rPr>
          <w:sz w:val="28"/>
          <w:szCs w:val="28"/>
          <w:u w:val="single"/>
        </w:rPr>
      </w:pPr>
    </w:p>
    <w:p w14:paraId="61933468" w14:textId="7584D608" w:rsidR="00066B49" w:rsidRPr="00066B49" w:rsidRDefault="00066B49">
      <w:pPr>
        <w:rPr>
          <w:sz w:val="26"/>
          <w:szCs w:val="26"/>
        </w:rPr>
      </w:pPr>
      <w:r>
        <w:rPr>
          <w:sz w:val="26"/>
          <w:szCs w:val="26"/>
        </w:rPr>
        <w:t>IPUMS.</w:t>
      </w:r>
      <w:r w:rsidRPr="00066B49">
        <w:rPr>
          <w:sz w:val="26"/>
          <w:szCs w:val="26"/>
        </w:rPr>
        <w:t xml:space="preserve"> </w:t>
      </w:r>
      <w:r w:rsidRPr="00066B49">
        <w:rPr>
          <w:i/>
          <w:iCs/>
          <w:sz w:val="26"/>
          <w:szCs w:val="26"/>
        </w:rPr>
        <w:t>IPUMS CPS</w:t>
      </w:r>
      <w:r>
        <w:rPr>
          <w:sz w:val="26"/>
          <w:szCs w:val="26"/>
        </w:rPr>
        <w:t>.</w:t>
      </w:r>
      <w:r w:rsidRPr="00066B49">
        <w:rPr>
          <w:sz w:val="26"/>
          <w:szCs w:val="26"/>
        </w:rPr>
        <w:t xml:space="preserve"> 2023</w:t>
      </w:r>
      <w:r w:rsidR="002C10E7">
        <w:rPr>
          <w:sz w:val="26"/>
          <w:szCs w:val="26"/>
        </w:rPr>
        <w:t>, accessed May 11, 2024 at</w:t>
      </w:r>
      <w:r w:rsidRPr="00066B49">
        <w:rPr>
          <w:sz w:val="26"/>
          <w:szCs w:val="26"/>
        </w:rPr>
        <w:t xml:space="preserve"> </w:t>
      </w:r>
      <w:hyperlink r:id="rId16" w:history="1">
        <w:r w:rsidRPr="00C83964">
          <w:rPr>
            <w:rStyle w:val="Hyperlink"/>
            <w:sz w:val="26"/>
            <w:szCs w:val="26"/>
          </w:rPr>
          <w:t>https://doi.org/10.18128/D030.V11.0</w:t>
        </w:r>
      </w:hyperlink>
      <w:r>
        <w:rPr>
          <w:sz w:val="26"/>
          <w:szCs w:val="26"/>
        </w:rPr>
        <w:t xml:space="preserve">. </w:t>
      </w:r>
    </w:p>
    <w:p w14:paraId="434C8809" w14:textId="77777777" w:rsidR="00066B49" w:rsidRDefault="00066B49">
      <w:pPr>
        <w:rPr>
          <w:sz w:val="28"/>
          <w:szCs w:val="28"/>
          <w:u w:val="single"/>
        </w:rPr>
      </w:pPr>
    </w:p>
    <w:p w14:paraId="64FC6A49" w14:textId="698D8FBA" w:rsidR="00FF5116" w:rsidRPr="009E1EF9" w:rsidRDefault="00FF5116">
      <w:pPr>
        <w:rPr>
          <w:sz w:val="28"/>
          <w:szCs w:val="28"/>
          <w:u w:val="single"/>
        </w:rPr>
      </w:pPr>
      <w:r w:rsidRPr="009E1EF9">
        <w:rPr>
          <w:sz w:val="26"/>
          <w:szCs w:val="26"/>
        </w:rPr>
        <w:t>Transactional Records Access Clearinghouse</w:t>
      </w:r>
      <w:r>
        <w:rPr>
          <w:sz w:val="26"/>
          <w:szCs w:val="26"/>
        </w:rPr>
        <w:t xml:space="preserve">. “About the Data on Asylum” November 16, 2022, accessed May 11, 2024 at </w:t>
      </w:r>
      <w:hyperlink r:id="rId17" w:history="1">
        <w:r w:rsidRPr="00C83964">
          <w:rPr>
            <w:rStyle w:val="Hyperlink"/>
            <w:sz w:val="26"/>
            <w:szCs w:val="26"/>
          </w:rPr>
          <w:t>https://tinyurl.com/yn9s2vbx</w:t>
        </w:r>
      </w:hyperlink>
      <w:r>
        <w:rPr>
          <w:sz w:val="26"/>
          <w:szCs w:val="26"/>
        </w:rPr>
        <w:t xml:space="preserve">. </w:t>
      </w:r>
    </w:p>
    <w:p w14:paraId="431C6B58" w14:textId="77777777" w:rsidR="009E1EF9" w:rsidRDefault="009E1EF9">
      <w:pPr>
        <w:rPr>
          <w:sz w:val="26"/>
          <w:szCs w:val="26"/>
          <w:u w:val="single"/>
        </w:rPr>
      </w:pPr>
    </w:p>
    <w:p w14:paraId="21DA5A50" w14:textId="3A2E61C4" w:rsidR="00FF5116" w:rsidRDefault="00FF5116">
      <w:pPr>
        <w:rPr>
          <w:sz w:val="26"/>
          <w:szCs w:val="26"/>
          <w:u w:val="single"/>
        </w:rPr>
      </w:pPr>
      <w:r w:rsidRPr="009E1EF9">
        <w:rPr>
          <w:sz w:val="26"/>
          <w:szCs w:val="26"/>
        </w:rPr>
        <w:t>Transactional Records Access Clearinghouse.</w:t>
      </w:r>
      <w:r>
        <w:rPr>
          <w:sz w:val="26"/>
          <w:szCs w:val="26"/>
        </w:rPr>
        <w:t xml:space="preserve"> </w:t>
      </w:r>
      <w:r>
        <w:rPr>
          <w:i/>
          <w:iCs/>
          <w:sz w:val="26"/>
          <w:szCs w:val="26"/>
        </w:rPr>
        <w:t>Asylum Decisions by Judge, Oct 1993–Sep 2023.</w:t>
      </w:r>
      <w:r>
        <w:rPr>
          <w:sz w:val="26"/>
          <w:szCs w:val="26"/>
        </w:rPr>
        <w:t xml:space="preserve"> Accessed May 11, 2024 at</w:t>
      </w:r>
      <w:r w:rsidRPr="00FF5116">
        <w:t xml:space="preserve"> </w:t>
      </w:r>
      <w:hyperlink r:id="rId18" w:history="1">
        <w:r w:rsidRPr="00C83964">
          <w:rPr>
            <w:rStyle w:val="Hyperlink"/>
          </w:rPr>
          <w:t>https://tinyurl.com/3zanp3xj</w:t>
        </w:r>
      </w:hyperlink>
      <w:r>
        <w:t xml:space="preserve">. </w:t>
      </w:r>
    </w:p>
    <w:p w14:paraId="0E04C3D3" w14:textId="77777777" w:rsidR="00FF5116" w:rsidRDefault="00FF5116">
      <w:pPr>
        <w:rPr>
          <w:sz w:val="26"/>
          <w:szCs w:val="26"/>
          <w:u w:val="single"/>
        </w:rPr>
      </w:pPr>
    </w:p>
    <w:p w14:paraId="7B90B407" w14:textId="213C94FE" w:rsidR="00FF5116" w:rsidRDefault="00FF5116">
      <w:pPr>
        <w:rPr>
          <w:sz w:val="26"/>
          <w:szCs w:val="26"/>
          <w:u w:val="single"/>
        </w:rPr>
      </w:pPr>
      <w:r w:rsidRPr="009E1EF9">
        <w:rPr>
          <w:sz w:val="26"/>
          <w:szCs w:val="26"/>
        </w:rPr>
        <w:t>Transactional Records Access Clearinghouse.</w:t>
      </w:r>
      <w:r>
        <w:rPr>
          <w:sz w:val="26"/>
          <w:szCs w:val="26"/>
        </w:rPr>
        <w:t xml:space="preserve"> </w:t>
      </w:r>
      <w:r>
        <w:rPr>
          <w:i/>
          <w:iCs/>
          <w:sz w:val="26"/>
          <w:szCs w:val="26"/>
        </w:rPr>
        <w:t>Immigration Court Asylum Backlog, Sep 2012–Dec 2023.</w:t>
      </w:r>
      <w:r>
        <w:rPr>
          <w:sz w:val="26"/>
          <w:szCs w:val="26"/>
        </w:rPr>
        <w:t xml:space="preserve"> Accessed May 11, 2024 at</w:t>
      </w:r>
      <w:r w:rsidRPr="00FF5116">
        <w:t xml:space="preserve"> </w:t>
      </w:r>
      <w:hyperlink r:id="rId19" w:history="1">
        <w:r w:rsidRPr="00C83964">
          <w:rPr>
            <w:rStyle w:val="Hyperlink"/>
            <w:sz w:val="26"/>
            <w:szCs w:val="26"/>
          </w:rPr>
          <w:t>https://tinyurl.com/3pw26wcj</w:t>
        </w:r>
      </w:hyperlink>
      <w:r>
        <w:rPr>
          <w:sz w:val="26"/>
          <w:szCs w:val="26"/>
        </w:rPr>
        <w:t xml:space="preserve">. </w:t>
      </w:r>
    </w:p>
    <w:p w14:paraId="2C700B69" w14:textId="77777777" w:rsidR="00FF5116" w:rsidRDefault="00FF5116">
      <w:pPr>
        <w:rPr>
          <w:sz w:val="26"/>
          <w:szCs w:val="26"/>
          <w:u w:val="single"/>
        </w:rPr>
      </w:pPr>
    </w:p>
    <w:p w14:paraId="6327E2FB" w14:textId="64C09C09" w:rsidR="00FF5116" w:rsidRDefault="00FF5116">
      <w:pPr>
        <w:rPr>
          <w:sz w:val="26"/>
          <w:szCs w:val="26"/>
          <w:u w:val="single"/>
        </w:rPr>
      </w:pPr>
      <w:r w:rsidRPr="009E1EF9">
        <w:rPr>
          <w:sz w:val="26"/>
          <w:szCs w:val="26"/>
        </w:rPr>
        <w:t>Transactional Records Access Clearinghouse.</w:t>
      </w:r>
      <w:r>
        <w:rPr>
          <w:sz w:val="26"/>
          <w:szCs w:val="26"/>
        </w:rPr>
        <w:t xml:space="preserve"> </w:t>
      </w:r>
      <w:r>
        <w:rPr>
          <w:i/>
          <w:iCs/>
          <w:sz w:val="26"/>
          <w:szCs w:val="26"/>
        </w:rPr>
        <w:t>Immigration Court Asylum Decisions, Oct 2000–Apr 2024.</w:t>
      </w:r>
      <w:r>
        <w:rPr>
          <w:sz w:val="26"/>
          <w:szCs w:val="26"/>
        </w:rPr>
        <w:t xml:space="preserve"> Accessed May 11, 2024 at</w:t>
      </w:r>
      <w:r w:rsidRPr="00FF5116">
        <w:t xml:space="preserve"> </w:t>
      </w:r>
      <w:hyperlink r:id="rId20" w:history="1">
        <w:r w:rsidRPr="00C83964">
          <w:rPr>
            <w:rStyle w:val="Hyperlink"/>
            <w:sz w:val="26"/>
            <w:szCs w:val="26"/>
          </w:rPr>
          <w:t>https://tinyurl.com/5n8pe5rn</w:t>
        </w:r>
      </w:hyperlink>
      <w:r>
        <w:rPr>
          <w:sz w:val="26"/>
          <w:szCs w:val="26"/>
        </w:rPr>
        <w:t xml:space="preserve">. </w:t>
      </w:r>
    </w:p>
    <w:p w14:paraId="675C40A3" w14:textId="77777777" w:rsidR="00FF5116" w:rsidRDefault="00FF5116">
      <w:pPr>
        <w:rPr>
          <w:sz w:val="26"/>
          <w:szCs w:val="26"/>
          <w:u w:val="single"/>
        </w:rPr>
      </w:pPr>
    </w:p>
    <w:p w14:paraId="52575E18" w14:textId="0D253B5D" w:rsidR="009E1EF9" w:rsidRDefault="00FF5116">
      <w:pPr>
        <w:rPr>
          <w:sz w:val="26"/>
          <w:szCs w:val="26"/>
        </w:rPr>
      </w:pPr>
      <w:r w:rsidRPr="009E1EF9">
        <w:rPr>
          <w:sz w:val="26"/>
          <w:szCs w:val="26"/>
        </w:rPr>
        <w:t>Transactional Records Access Clearinghouse.</w:t>
      </w:r>
      <w:r>
        <w:rPr>
          <w:sz w:val="26"/>
          <w:szCs w:val="26"/>
        </w:rPr>
        <w:t xml:space="preserve"> </w:t>
      </w:r>
      <w:r>
        <w:rPr>
          <w:i/>
          <w:iCs/>
          <w:sz w:val="26"/>
          <w:szCs w:val="26"/>
        </w:rPr>
        <w:t>Immigration Court Asylum Filings, Oct 2000–Nov 2022.</w:t>
      </w:r>
      <w:r>
        <w:rPr>
          <w:sz w:val="26"/>
          <w:szCs w:val="26"/>
        </w:rPr>
        <w:t xml:space="preserve"> Accessed May 11, 2024 at </w:t>
      </w:r>
      <w:hyperlink r:id="rId21" w:history="1">
        <w:r w:rsidRPr="00C83964">
          <w:rPr>
            <w:rStyle w:val="Hyperlink"/>
            <w:sz w:val="26"/>
            <w:szCs w:val="26"/>
          </w:rPr>
          <w:t>https://tinyurl.com/3dkay4yr</w:t>
        </w:r>
      </w:hyperlink>
      <w:r>
        <w:rPr>
          <w:sz w:val="26"/>
          <w:szCs w:val="26"/>
        </w:rPr>
        <w:t xml:space="preserve">. </w:t>
      </w:r>
    </w:p>
    <w:p w14:paraId="4DFBC8DC" w14:textId="77777777" w:rsidR="00FF5116" w:rsidRDefault="00FF5116">
      <w:pPr>
        <w:rPr>
          <w:sz w:val="26"/>
          <w:szCs w:val="26"/>
        </w:rPr>
      </w:pPr>
    </w:p>
    <w:p w14:paraId="1BC627E0" w14:textId="77777777" w:rsidR="00066B49" w:rsidRPr="009E1EF9" w:rsidRDefault="00066B49" w:rsidP="00066B49">
      <w:pPr>
        <w:rPr>
          <w:sz w:val="28"/>
          <w:szCs w:val="28"/>
          <w:u w:val="single"/>
        </w:rPr>
      </w:pPr>
      <w:r>
        <w:rPr>
          <w:sz w:val="26"/>
          <w:szCs w:val="26"/>
        </w:rPr>
        <w:t xml:space="preserve">U.S. Customs and Border Protection. “CBP Public Data Portal.” Accessed May 11, 2024 at </w:t>
      </w:r>
      <w:hyperlink r:id="rId22" w:history="1">
        <w:r w:rsidRPr="00C83964">
          <w:rPr>
            <w:rStyle w:val="Hyperlink"/>
            <w:sz w:val="26"/>
            <w:szCs w:val="26"/>
          </w:rPr>
          <w:t>https://www.cbp.gov/newsroom/stats/cbp-public-data-portal</w:t>
        </w:r>
      </w:hyperlink>
      <w:r>
        <w:rPr>
          <w:sz w:val="26"/>
          <w:szCs w:val="26"/>
        </w:rPr>
        <w:t xml:space="preserve">. </w:t>
      </w:r>
    </w:p>
    <w:p w14:paraId="1BF4794B" w14:textId="77777777" w:rsidR="00066B49" w:rsidRDefault="00066B49" w:rsidP="00066B49">
      <w:pPr>
        <w:rPr>
          <w:sz w:val="28"/>
          <w:szCs w:val="28"/>
          <w:u w:val="single"/>
        </w:rPr>
      </w:pPr>
    </w:p>
    <w:p w14:paraId="0CDDFF93" w14:textId="77777777" w:rsidR="00066B49" w:rsidRPr="009E1EF9" w:rsidRDefault="00066B49" w:rsidP="00066B49">
      <w:pPr>
        <w:rPr>
          <w:sz w:val="28"/>
          <w:szCs w:val="28"/>
          <w:u w:val="single"/>
        </w:rPr>
      </w:pPr>
      <w:r>
        <w:rPr>
          <w:sz w:val="26"/>
          <w:szCs w:val="26"/>
        </w:rPr>
        <w:t xml:space="preserve">U.S. Customs and Border Protection. </w:t>
      </w:r>
      <w:r>
        <w:rPr>
          <w:i/>
          <w:iCs/>
          <w:sz w:val="26"/>
          <w:szCs w:val="26"/>
        </w:rPr>
        <w:t xml:space="preserve">Nationwide Encounters. </w:t>
      </w:r>
      <w:r>
        <w:rPr>
          <w:sz w:val="26"/>
          <w:szCs w:val="26"/>
        </w:rPr>
        <w:t xml:space="preserve">Accessed May 11, 2024 at </w:t>
      </w:r>
      <w:hyperlink r:id="rId23" w:history="1">
        <w:r w:rsidRPr="00C83964">
          <w:rPr>
            <w:rStyle w:val="Hyperlink"/>
            <w:sz w:val="26"/>
            <w:szCs w:val="26"/>
          </w:rPr>
          <w:t>https://www.cbp.gov/document/stats/nationwide-encounters</w:t>
        </w:r>
      </w:hyperlink>
      <w:r>
        <w:rPr>
          <w:sz w:val="26"/>
          <w:szCs w:val="26"/>
        </w:rPr>
        <w:t xml:space="preserve">. </w:t>
      </w:r>
    </w:p>
    <w:p w14:paraId="56ADAD05" w14:textId="77777777" w:rsidR="00FF5116" w:rsidRDefault="00FF5116">
      <w:pPr>
        <w:rPr>
          <w:sz w:val="26"/>
          <w:szCs w:val="26"/>
        </w:rPr>
      </w:pPr>
    </w:p>
    <w:p w14:paraId="34021739" w14:textId="1508D1D7" w:rsidR="00A70B15" w:rsidRDefault="00A70B15">
      <w:pPr>
        <w:rPr>
          <w:b/>
          <w:bCs/>
          <w:sz w:val="28"/>
          <w:szCs w:val="28"/>
        </w:rPr>
      </w:pPr>
      <w:r w:rsidRPr="00695ED4">
        <w:rPr>
          <w:b/>
          <w:bCs/>
          <w:sz w:val="28"/>
          <w:szCs w:val="28"/>
        </w:rPr>
        <w:t>Methodology</w:t>
      </w:r>
    </w:p>
    <w:p w14:paraId="3D02ADE6" w14:textId="77777777" w:rsidR="00695ED4" w:rsidRDefault="00695ED4">
      <w:pPr>
        <w:rPr>
          <w:b/>
          <w:bCs/>
          <w:sz w:val="28"/>
          <w:szCs w:val="28"/>
        </w:rPr>
      </w:pPr>
    </w:p>
    <w:p w14:paraId="7236F81D" w14:textId="4D1E65B5" w:rsidR="00695ED4" w:rsidRDefault="00695ED4">
      <w:pPr>
        <w:rPr>
          <w:b/>
          <w:bCs/>
          <w:sz w:val="28"/>
          <w:szCs w:val="28"/>
        </w:rPr>
      </w:pPr>
      <w:r w:rsidRPr="00695ED4">
        <w:rPr>
          <w:b/>
          <w:bCs/>
          <w:noProof/>
          <w:sz w:val="28"/>
          <w:szCs w:val="28"/>
        </w:rPr>
        <w:drawing>
          <wp:inline distT="0" distB="0" distL="0" distR="0" wp14:anchorId="2230A679" wp14:editId="2A43F63C">
            <wp:extent cx="4470400" cy="838200"/>
            <wp:effectExtent l="0" t="0" r="0" b="0"/>
            <wp:docPr id="642053353"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53353" name="Picture 1" descr="A black and white math equation&#10;&#10;Description automatically generated with medium confidence"/>
                    <pic:cNvPicPr/>
                  </pic:nvPicPr>
                  <pic:blipFill>
                    <a:blip r:embed="rId24"/>
                    <a:stretch>
                      <a:fillRect/>
                    </a:stretch>
                  </pic:blipFill>
                  <pic:spPr>
                    <a:xfrm>
                      <a:off x="0" y="0"/>
                      <a:ext cx="4470400" cy="838200"/>
                    </a:xfrm>
                    <a:prstGeom prst="rect">
                      <a:avLst/>
                    </a:prstGeom>
                  </pic:spPr>
                </pic:pic>
              </a:graphicData>
            </a:graphic>
          </wp:inline>
        </w:drawing>
      </w:r>
    </w:p>
    <w:p w14:paraId="11247780" w14:textId="3C9BEABE" w:rsidR="00695ED4" w:rsidRDefault="00695ED4">
      <w:pPr>
        <w:rPr>
          <w:b/>
          <w:bCs/>
          <w:sz w:val="28"/>
          <w:szCs w:val="28"/>
        </w:rPr>
      </w:pPr>
      <w:r w:rsidRPr="00695ED4">
        <w:rPr>
          <w:b/>
          <w:bCs/>
          <w:noProof/>
          <w:sz w:val="28"/>
          <w:szCs w:val="28"/>
        </w:rPr>
        <w:drawing>
          <wp:inline distT="0" distB="0" distL="0" distR="0" wp14:anchorId="448942BB" wp14:editId="53ABEAD3">
            <wp:extent cx="2844800" cy="812800"/>
            <wp:effectExtent l="0" t="0" r="0" b="0"/>
            <wp:docPr id="534961965" name="Picture 1" descr="A close-up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61965" name="Picture 1" descr="A close-up of a mathematical equation&#10;&#10;Description automatically generated"/>
                    <pic:cNvPicPr/>
                  </pic:nvPicPr>
                  <pic:blipFill>
                    <a:blip r:embed="rId25"/>
                    <a:stretch>
                      <a:fillRect/>
                    </a:stretch>
                  </pic:blipFill>
                  <pic:spPr>
                    <a:xfrm>
                      <a:off x="0" y="0"/>
                      <a:ext cx="2844800" cy="812800"/>
                    </a:xfrm>
                    <a:prstGeom prst="rect">
                      <a:avLst/>
                    </a:prstGeom>
                  </pic:spPr>
                </pic:pic>
              </a:graphicData>
            </a:graphic>
          </wp:inline>
        </w:drawing>
      </w:r>
    </w:p>
    <w:p w14:paraId="272BBAD9" w14:textId="49894F83" w:rsidR="00695ED4" w:rsidRPr="00695ED4" w:rsidRDefault="00695ED4">
      <w:pPr>
        <w:rPr>
          <w:b/>
          <w:bCs/>
          <w:sz w:val="28"/>
          <w:szCs w:val="28"/>
        </w:rPr>
      </w:pPr>
      <w:r w:rsidRPr="00695ED4">
        <w:rPr>
          <w:b/>
          <w:bCs/>
          <w:noProof/>
          <w:sz w:val="28"/>
          <w:szCs w:val="28"/>
        </w:rPr>
        <w:drawing>
          <wp:inline distT="0" distB="0" distL="0" distR="0" wp14:anchorId="33BC3C5E" wp14:editId="4C1726E7">
            <wp:extent cx="5016500" cy="1244600"/>
            <wp:effectExtent l="0" t="0" r="0" b="0"/>
            <wp:docPr id="1954027027" name="Picture 1" descr="A group of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27027" name="Picture 1" descr="A group of math symbols&#10;&#10;Description automatically generated"/>
                    <pic:cNvPicPr/>
                  </pic:nvPicPr>
                  <pic:blipFill>
                    <a:blip r:embed="rId26"/>
                    <a:stretch>
                      <a:fillRect/>
                    </a:stretch>
                  </pic:blipFill>
                  <pic:spPr>
                    <a:xfrm>
                      <a:off x="0" y="0"/>
                      <a:ext cx="5016500" cy="1244600"/>
                    </a:xfrm>
                    <a:prstGeom prst="rect">
                      <a:avLst/>
                    </a:prstGeom>
                  </pic:spPr>
                </pic:pic>
              </a:graphicData>
            </a:graphic>
          </wp:inline>
        </w:drawing>
      </w:r>
    </w:p>
    <w:p w14:paraId="1C856681" w14:textId="77777777" w:rsidR="00A70B15" w:rsidRDefault="00A70B15">
      <w:pPr>
        <w:rPr>
          <w:sz w:val="28"/>
          <w:szCs w:val="28"/>
          <w:u w:val="single"/>
        </w:rPr>
      </w:pPr>
    </w:p>
    <w:p w14:paraId="352274CF" w14:textId="505B2339" w:rsidR="00A70B15" w:rsidRPr="00695ED4" w:rsidRDefault="00A70B15">
      <w:pPr>
        <w:rPr>
          <w:b/>
          <w:bCs/>
          <w:sz w:val="28"/>
          <w:szCs w:val="28"/>
        </w:rPr>
      </w:pPr>
      <w:r w:rsidRPr="00695ED4">
        <w:rPr>
          <w:b/>
          <w:bCs/>
          <w:sz w:val="28"/>
          <w:szCs w:val="28"/>
        </w:rPr>
        <w:t>Results</w:t>
      </w:r>
    </w:p>
    <w:p w14:paraId="1B332666" w14:textId="77777777" w:rsidR="00A70B15" w:rsidRPr="00695ED4" w:rsidRDefault="00A70B15">
      <w:pPr>
        <w:rPr>
          <w:b/>
          <w:bCs/>
          <w:sz w:val="28"/>
          <w:szCs w:val="28"/>
        </w:rPr>
      </w:pPr>
    </w:p>
    <w:p w14:paraId="13FBD44E" w14:textId="67F5F450" w:rsidR="00A70B15" w:rsidRPr="00695ED4" w:rsidRDefault="00A70B15">
      <w:pPr>
        <w:rPr>
          <w:b/>
          <w:bCs/>
          <w:sz w:val="28"/>
          <w:szCs w:val="28"/>
        </w:rPr>
      </w:pPr>
      <w:r w:rsidRPr="00695ED4">
        <w:rPr>
          <w:b/>
          <w:bCs/>
          <w:sz w:val="28"/>
          <w:szCs w:val="28"/>
        </w:rPr>
        <w:t>Discussion</w:t>
      </w:r>
    </w:p>
    <w:p w14:paraId="67953AEB" w14:textId="77777777" w:rsidR="00A70B15" w:rsidRPr="00695ED4" w:rsidRDefault="00A70B15">
      <w:pPr>
        <w:rPr>
          <w:b/>
          <w:bCs/>
          <w:sz w:val="28"/>
          <w:szCs w:val="28"/>
        </w:rPr>
      </w:pPr>
    </w:p>
    <w:p w14:paraId="690CC6BD" w14:textId="0EFCB0EC" w:rsidR="00A70B15" w:rsidRPr="00695ED4" w:rsidRDefault="00A70B15">
      <w:pPr>
        <w:rPr>
          <w:b/>
          <w:bCs/>
          <w:sz w:val="28"/>
          <w:szCs w:val="28"/>
        </w:rPr>
      </w:pPr>
      <w:r w:rsidRPr="00695ED4">
        <w:rPr>
          <w:b/>
          <w:bCs/>
          <w:sz w:val="28"/>
          <w:szCs w:val="28"/>
        </w:rPr>
        <w:t>Conclusion</w:t>
      </w:r>
    </w:p>
    <w:p w14:paraId="435E2426" w14:textId="77777777" w:rsidR="00A70B15" w:rsidRPr="00695ED4" w:rsidRDefault="00A70B15">
      <w:pPr>
        <w:rPr>
          <w:b/>
          <w:bCs/>
          <w:sz w:val="28"/>
          <w:szCs w:val="28"/>
        </w:rPr>
      </w:pPr>
    </w:p>
    <w:p w14:paraId="70E0272F" w14:textId="16D5DC2F" w:rsidR="00A70B15" w:rsidRPr="00695ED4" w:rsidRDefault="00A70B15">
      <w:pPr>
        <w:rPr>
          <w:b/>
          <w:bCs/>
          <w:sz w:val="26"/>
          <w:szCs w:val="26"/>
        </w:rPr>
      </w:pPr>
      <w:r w:rsidRPr="00695ED4">
        <w:rPr>
          <w:b/>
          <w:bCs/>
          <w:sz w:val="28"/>
          <w:szCs w:val="28"/>
        </w:rPr>
        <w:t>Bibliography</w:t>
      </w:r>
    </w:p>
    <w:sectPr w:rsidR="00A70B15" w:rsidRPr="00695ED4">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E458" w14:textId="77777777" w:rsidR="00316C56" w:rsidRDefault="00316C56" w:rsidP="00A70B15">
      <w:r>
        <w:separator/>
      </w:r>
    </w:p>
  </w:endnote>
  <w:endnote w:type="continuationSeparator" w:id="0">
    <w:p w14:paraId="070D960C" w14:textId="77777777" w:rsidR="00316C56" w:rsidRDefault="00316C56" w:rsidP="00A70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1718503"/>
      <w:docPartObj>
        <w:docPartGallery w:val="Page Numbers (Bottom of Page)"/>
        <w:docPartUnique/>
      </w:docPartObj>
    </w:sdtPr>
    <w:sdtContent>
      <w:p w14:paraId="6C7ABBDA" w14:textId="0B707B9F" w:rsidR="00A70B15" w:rsidRDefault="00A70B15" w:rsidP="00C839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7A5A6" w14:textId="77777777" w:rsidR="00A70B15" w:rsidRDefault="00A70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C05F" w14:textId="7CCA1318" w:rsidR="00A70B15" w:rsidRPr="00A70B15" w:rsidRDefault="00A70B15" w:rsidP="00A70B15">
    <w:pPr>
      <w:pStyle w:val="Footer"/>
      <w:jc w:val="center"/>
      <w:rPr>
        <w:rFonts w:ascii="Calibri" w:hAnsi="Calibri" w:cs="Calibri"/>
      </w:rPr>
    </w:pPr>
    <w:r w:rsidRPr="00A70B15">
      <w:rPr>
        <w:rStyle w:val="PageNumber"/>
        <w:rFonts w:ascii="Calibri" w:hAnsi="Calibri" w:cs="Calibri"/>
      </w:rPr>
      <w:t xml:space="preserve">Page </w:t>
    </w:r>
    <w:r w:rsidRPr="00A70B15">
      <w:rPr>
        <w:rStyle w:val="PageNumber"/>
        <w:rFonts w:ascii="Calibri" w:hAnsi="Calibri" w:cs="Calibri"/>
      </w:rPr>
      <w:fldChar w:fldCharType="begin"/>
    </w:r>
    <w:r w:rsidRPr="00A70B15">
      <w:rPr>
        <w:rStyle w:val="PageNumber"/>
        <w:rFonts w:ascii="Calibri" w:hAnsi="Calibri" w:cs="Calibri"/>
      </w:rPr>
      <w:instrText xml:space="preserve"> PAGE </w:instrText>
    </w:r>
    <w:r w:rsidRPr="00A70B15">
      <w:rPr>
        <w:rStyle w:val="PageNumber"/>
        <w:rFonts w:ascii="Calibri" w:hAnsi="Calibri" w:cs="Calibri"/>
      </w:rPr>
      <w:fldChar w:fldCharType="separate"/>
    </w:r>
    <w:r w:rsidRPr="00A70B15">
      <w:rPr>
        <w:rStyle w:val="PageNumber"/>
        <w:rFonts w:ascii="Calibri" w:hAnsi="Calibri" w:cs="Calibri"/>
        <w:noProof/>
      </w:rPr>
      <w:t>1</w:t>
    </w:r>
    <w:r w:rsidRPr="00A70B15">
      <w:rPr>
        <w:rStyle w:val="PageNumber"/>
        <w:rFonts w:ascii="Calibri" w:hAnsi="Calibri" w:cs="Calibri"/>
      </w:rPr>
      <w:fldChar w:fldCharType="end"/>
    </w:r>
    <w:r w:rsidRPr="00A70B15">
      <w:rPr>
        <w:rStyle w:val="PageNumber"/>
        <w:rFonts w:ascii="Calibri" w:hAnsi="Calibri" w:cs="Calibri"/>
      </w:rPr>
      <w:t xml:space="preserve"> of </w:t>
    </w:r>
    <w:r w:rsidRPr="00A70B15">
      <w:rPr>
        <w:rStyle w:val="PageNumber"/>
        <w:rFonts w:ascii="Calibri" w:hAnsi="Calibri" w:cs="Calibri"/>
      </w:rPr>
      <w:fldChar w:fldCharType="begin"/>
    </w:r>
    <w:r w:rsidRPr="00A70B15">
      <w:rPr>
        <w:rStyle w:val="PageNumber"/>
        <w:rFonts w:ascii="Calibri" w:hAnsi="Calibri" w:cs="Calibri"/>
      </w:rPr>
      <w:instrText xml:space="preserve"> NUMPAGES </w:instrText>
    </w:r>
    <w:r w:rsidRPr="00A70B15">
      <w:rPr>
        <w:rStyle w:val="PageNumber"/>
        <w:rFonts w:ascii="Calibri" w:hAnsi="Calibri" w:cs="Calibri"/>
      </w:rPr>
      <w:fldChar w:fldCharType="separate"/>
    </w:r>
    <w:r w:rsidRPr="00A70B15">
      <w:rPr>
        <w:rStyle w:val="PageNumber"/>
        <w:rFonts w:ascii="Calibri" w:hAnsi="Calibri" w:cs="Calibri"/>
        <w:noProof/>
      </w:rPr>
      <w:t>4</w:t>
    </w:r>
    <w:r w:rsidRPr="00A70B15">
      <w:rPr>
        <w:rStyle w:val="PageNumber"/>
        <w:rFonts w:ascii="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0A78" w14:textId="77777777" w:rsidR="00316C56" w:rsidRDefault="00316C56" w:rsidP="00A70B15">
      <w:r>
        <w:separator/>
      </w:r>
    </w:p>
  </w:footnote>
  <w:footnote w:type="continuationSeparator" w:id="0">
    <w:p w14:paraId="3AC19D69" w14:textId="77777777" w:rsidR="00316C56" w:rsidRDefault="00316C56" w:rsidP="00A70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99E"/>
    <w:multiLevelType w:val="hybridMultilevel"/>
    <w:tmpl w:val="EBA8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F5F93"/>
    <w:multiLevelType w:val="hybridMultilevel"/>
    <w:tmpl w:val="2FB483F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D3C5B83"/>
    <w:multiLevelType w:val="hybridMultilevel"/>
    <w:tmpl w:val="2FB483F6"/>
    <w:lvl w:ilvl="0" w:tplc="673856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03F7F67"/>
    <w:multiLevelType w:val="hybridMultilevel"/>
    <w:tmpl w:val="E92CDEF2"/>
    <w:lvl w:ilvl="0" w:tplc="197C2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7529346">
    <w:abstractNumId w:val="0"/>
  </w:num>
  <w:num w:numId="2" w16cid:durableId="1193421092">
    <w:abstractNumId w:val="3"/>
  </w:num>
  <w:num w:numId="3" w16cid:durableId="1819492887">
    <w:abstractNumId w:val="2"/>
  </w:num>
  <w:num w:numId="4" w16cid:durableId="146010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D8"/>
    <w:rsid w:val="00066B49"/>
    <w:rsid w:val="002A1E72"/>
    <w:rsid w:val="002C10E7"/>
    <w:rsid w:val="00316C56"/>
    <w:rsid w:val="003756DC"/>
    <w:rsid w:val="005A7F85"/>
    <w:rsid w:val="00695ED4"/>
    <w:rsid w:val="00782C97"/>
    <w:rsid w:val="007845E1"/>
    <w:rsid w:val="00800EF6"/>
    <w:rsid w:val="00802FBB"/>
    <w:rsid w:val="00987280"/>
    <w:rsid w:val="009E1EF9"/>
    <w:rsid w:val="00A70B15"/>
    <w:rsid w:val="00B30708"/>
    <w:rsid w:val="00C0150B"/>
    <w:rsid w:val="00C34655"/>
    <w:rsid w:val="00C43D72"/>
    <w:rsid w:val="00CC11D8"/>
    <w:rsid w:val="00CD388E"/>
    <w:rsid w:val="00D672B6"/>
    <w:rsid w:val="00E90807"/>
    <w:rsid w:val="00FA4385"/>
    <w:rsid w:val="00FA7648"/>
    <w:rsid w:val="00FF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DFE71"/>
  <w15:chartTrackingRefBased/>
  <w15:docId w15:val="{93C5C872-CCFB-6146-A922-F301A316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1D8"/>
    <w:rPr>
      <w:color w:val="0563C1" w:themeColor="hyperlink"/>
      <w:u w:val="single"/>
    </w:rPr>
  </w:style>
  <w:style w:type="character" w:styleId="UnresolvedMention">
    <w:name w:val="Unresolved Mention"/>
    <w:basedOn w:val="DefaultParagraphFont"/>
    <w:uiPriority w:val="99"/>
    <w:semiHidden/>
    <w:unhideWhenUsed/>
    <w:rsid w:val="00CC11D8"/>
    <w:rPr>
      <w:color w:val="605E5C"/>
      <w:shd w:val="clear" w:color="auto" w:fill="E1DFDD"/>
    </w:rPr>
  </w:style>
  <w:style w:type="character" w:styleId="FollowedHyperlink">
    <w:name w:val="FollowedHyperlink"/>
    <w:basedOn w:val="DefaultParagraphFont"/>
    <w:uiPriority w:val="99"/>
    <w:semiHidden/>
    <w:unhideWhenUsed/>
    <w:rsid w:val="00800EF6"/>
    <w:rPr>
      <w:color w:val="954F72" w:themeColor="followedHyperlink"/>
      <w:u w:val="single"/>
    </w:rPr>
  </w:style>
  <w:style w:type="paragraph" w:styleId="ListParagraph">
    <w:name w:val="List Paragraph"/>
    <w:basedOn w:val="Normal"/>
    <w:uiPriority w:val="34"/>
    <w:qFormat/>
    <w:rsid w:val="00782C97"/>
    <w:pPr>
      <w:ind w:left="720"/>
      <w:contextualSpacing/>
    </w:pPr>
  </w:style>
  <w:style w:type="paragraph" w:styleId="Footer">
    <w:name w:val="footer"/>
    <w:basedOn w:val="Normal"/>
    <w:link w:val="FooterChar"/>
    <w:uiPriority w:val="99"/>
    <w:unhideWhenUsed/>
    <w:rsid w:val="00A70B15"/>
    <w:pPr>
      <w:tabs>
        <w:tab w:val="center" w:pos="4680"/>
        <w:tab w:val="right" w:pos="9360"/>
      </w:tabs>
    </w:pPr>
  </w:style>
  <w:style w:type="character" w:customStyle="1" w:styleId="FooterChar">
    <w:name w:val="Footer Char"/>
    <w:basedOn w:val="DefaultParagraphFont"/>
    <w:link w:val="Footer"/>
    <w:uiPriority w:val="99"/>
    <w:rsid w:val="00A70B15"/>
  </w:style>
  <w:style w:type="character" w:styleId="PageNumber">
    <w:name w:val="page number"/>
    <w:basedOn w:val="DefaultParagraphFont"/>
    <w:uiPriority w:val="99"/>
    <w:semiHidden/>
    <w:unhideWhenUsed/>
    <w:rsid w:val="00A70B15"/>
  </w:style>
  <w:style w:type="paragraph" w:styleId="Header">
    <w:name w:val="header"/>
    <w:basedOn w:val="Normal"/>
    <w:link w:val="HeaderChar"/>
    <w:uiPriority w:val="99"/>
    <w:unhideWhenUsed/>
    <w:rsid w:val="00A70B15"/>
    <w:pPr>
      <w:tabs>
        <w:tab w:val="center" w:pos="4680"/>
        <w:tab w:val="right" w:pos="9360"/>
      </w:tabs>
    </w:pPr>
  </w:style>
  <w:style w:type="character" w:customStyle="1" w:styleId="HeaderChar">
    <w:name w:val="Header Char"/>
    <w:basedOn w:val="DefaultParagraphFont"/>
    <w:link w:val="Header"/>
    <w:uiPriority w:val="99"/>
    <w:rsid w:val="00A7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37zcmst9" TargetMode="External"/><Relationship Id="rId13" Type="http://schemas.openxmlformats.org/officeDocument/2006/relationships/hyperlink" Target="https://www.nber.org/papers/w30138" TargetMode="External"/><Relationship Id="rId18" Type="http://schemas.openxmlformats.org/officeDocument/2006/relationships/hyperlink" Target="https://tinyurl.com/3zanp3xj"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tinyurl.com/3dkay4yr" TargetMode="External"/><Relationship Id="rId7" Type="http://schemas.openxmlformats.org/officeDocument/2006/relationships/hyperlink" Target="https://arxiv.org/pdf/2206.00727" TargetMode="External"/><Relationship Id="rId12" Type="http://schemas.openxmlformats.org/officeDocument/2006/relationships/hyperlink" Target="https://www.science.org/doi/10.1126/science.aan5893" TargetMode="External"/><Relationship Id="rId17" Type="http://schemas.openxmlformats.org/officeDocument/2006/relationships/hyperlink" Target="https://tinyurl.com/yn9s2vbx"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i.org/10.18128/D030.V11.0" TargetMode="External"/><Relationship Id="rId20" Type="http://schemas.openxmlformats.org/officeDocument/2006/relationships/hyperlink" Target="https://tinyurl.com/5n8pe5r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commons.sc.edu/sclr/vol67/iss2/8/"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trac.syr.edu/reports/736/" TargetMode="External"/><Relationship Id="rId23" Type="http://schemas.openxmlformats.org/officeDocument/2006/relationships/hyperlink" Target="https://www.cbp.gov/document/stats/nationwide-encounters" TargetMode="External"/><Relationship Id="rId28" Type="http://schemas.openxmlformats.org/officeDocument/2006/relationships/footer" Target="footer2.xml"/><Relationship Id="rId10" Type="http://schemas.openxmlformats.org/officeDocument/2006/relationships/hyperlink" Target="https://tinyurl.com/m3e27cbm" TargetMode="External"/><Relationship Id="rId19" Type="http://schemas.openxmlformats.org/officeDocument/2006/relationships/hyperlink" Target="https://tinyurl.com/3pw26wcj" TargetMode="External"/><Relationship Id="rId4" Type="http://schemas.openxmlformats.org/officeDocument/2006/relationships/webSettings" Target="webSettings.xml"/><Relationship Id="rId9" Type="http://schemas.openxmlformats.org/officeDocument/2006/relationships/hyperlink" Target="https://tinyurl.com/mpjt4sb5" TargetMode="External"/><Relationship Id="rId14" Type="http://schemas.openxmlformats.org/officeDocument/2006/relationships/hyperlink" Target="https://doi.org/10.51593/20210065" TargetMode="External"/><Relationship Id="rId22" Type="http://schemas.openxmlformats.org/officeDocument/2006/relationships/hyperlink" Target="https://www.cbp.gov/newsroom/stats/cbp-public-data-porta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Ramos</dc:creator>
  <cp:keywords/>
  <dc:description/>
  <cp:lastModifiedBy>Charlene Ramos</cp:lastModifiedBy>
  <cp:revision>3</cp:revision>
  <cp:lastPrinted>2024-05-12T05:17:00Z</cp:lastPrinted>
  <dcterms:created xsi:type="dcterms:W3CDTF">2024-05-12T05:17:00Z</dcterms:created>
  <dcterms:modified xsi:type="dcterms:W3CDTF">2024-05-12T05:17:00Z</dcterms:modified>
</cp:coreProperties>
</file>