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42640"/>
          <w:sz w:val="56"/>
        </w:rPr>
        <w:t>Signal Mosaic</w:t>
      </w:r>
    </w:p>
    <w:p>
      <w:pPr>
        <w:jc w:val="center"/>
      </w:pPr>
      <w:r>
        <w:rPr>
          <w:color w:val="7A2D3E"/>
          <w:sz w:val="32"/>
        </w:rPr>
        <w:t>Systematic Multi-Asset Funds with Coverage-Aware News Sentiment</w:t>
      </w:r>
    </w:p>
    <w:p/>
    <w:p/>
    <w:p/>
    <w:p/>
    <w:p>
      <w:pPr>
        <w:jc w:val="center"/>
      </w:pPr>
      <w:r>
        <w:rPr>
          <w:color w:val="142640"/>
          <w:sz w:val="24"/>
        </w:rPr>
        <w:t>FINS3645 Financial Market Data Design &amp; Analysis</w:t>
      </w:r>
    </w:p>
    <w:p>
      <w:pPr>
        <w:jc w:val="center"/>
      </w:pPr>
      <w:r>
        <w:rPr>
          <w:color w:val="142640"/>
          <w:sz w:val="24"/>
        </w:rPr>
        <w:t>Project B</w:t>
      </w:r>
    </w:p>
    <w:p>
      <w:pPr>
        <w:jc w:val="center"/>
      </w:pPr>
      <w:r>
        <w:rPr>
          <w:color w:val="142640"/>
          <w:sz w:val="24"/>
        </w:rPr>
        <w:t>Author: Chenhang Huang</w:t>
      </w:r>
    </w:p>
    <w:p>
      <w:pPr>
        <w:jc w:val="center"/>
      </w:pPr>
      <w:r>
        <w:rPr>
          <w:color w:val="142640"/>
          <w:sz w:val="24"/>
        </w:rPr>
        <w:t>zID: z5641844</w:t>
      </w:r>
    </w:p>
    <w:p>
      <w:pPr>
        <w:jc w:val="center"/>
      </w:pPr>
      <w:r>
        <w:rPr>
          <w:color w:val="142640"/>
          <w:sz w:val="24"/>
        </w:rPr>
        <w:t>Term 2, 2026</w:t>
      </w:r>
    </w:p>
    <w:p>
      <w:pPr>
        <w:sectPr>
          <w:pgSz w:w="11906" w:h="16838"/>
          <w:pgMar w:top="964" w:right="1020" w:bottom="964" w:left="1020" w:header="720" w:footer="720" w:gutter="0"/>
          <w:cols w:space="720"/>
          <w:titlePg/>
          <w:docGrid w:linePitch="360"/>
        </w:sectPr>
      </w:pPr>
    </w:p>
    <w:p>
      <w:pPr>
        <w:pStyle w:val="Heading1"/>
      </w:pPr>
      <w:r>
        <w:t>Executive Summary</w:t>
      </w:r>
    </w:p>
    <w:p>
      <w:r>
        <w:t>Signal Mosaic is an investment-product prototype built from structured market data and unstructured equity headlines. It offers eleven walk-forward out-of-sample fund histories across equity-only, crypto-only, combined equity-plus-crypto, and equity sentiment-overlay strategies. The data cover 50 US equities across ten sectors, 10 cryptocurrencies, and equity headlines from the UNSW Business School FINS3645 project data bundle (UNSW Business School, 2026). The app and report follow the Data Factory Floor logic of moving from cleaned data to features, models, and a client-facing product (Hric and Lin, 2026).</w:t>
      </w:r>
    </w:p>
    <w:p>
      <w:r>
        <w:t>The backtests use a 2020 initial estimation period, expanding-window estimation, monthly rebalancing, and weights formed before the return period in which they are used. Equity and combined funds run from 2021-01-04 to 2023-12-29. Crypto-only funds run from 2021-01-01 to 2023-12-31 on the native seven-day calendar. Sharpe ratios use a risk-free rate of zero (Sharpe, 1966). Net returns include a 10 basis-point one-way turnover-cost assumption after initial establishment.</w:t>
      </w:r>
    </w:p>
    <w:p>
      <w:r>
        <w:t>The highest measured net annualised return and net Sharpe in this sample is Crypto Minimum Variance, with a 49.25% net annualised return and a 0.91 net Sharpe ratio. This is not a universal "best fund" conclusion because the same fund records 76.12% annualised volatility and a -73.55% maximum drawdown. In the combined family, Combined Risk Parity has the highest net Sharpe at 0.78, while Combined Minimum Variance has the lowest annualised volatility across all funds at 12.72%. No method dominates every metric.</w:t>
      </w:r>
    </w:p>
    <w:p>
      <w:r>
        <w:t>Plain VADER sentiment scores 146,830 aligned equity headlines and produces 10,060 sector-date rows (Hutto and Gilbert, 2014). VADER classifies 49.57% of scored headlines as neutral, and 48.85% receive an exact-zero compound score. These shares indicate a potential false-neutral limitation for finance headlines; they do not show that around half the headlines were economically neutral. Missing-news days remain missing rather than being converted into zero sentiment.</w:t>
      </w:r>
    </w:p>
    <w:p>
      <w:r>
        <w:t>The sentiment-fusion result is negative relative to Equity Equal Weight. Equity Equal Weight records a 12.61% net annualised return and a 0.82 net Sharpe. Equity Naive Sentiment Tilt records 11.65% and 0.77, while Equity Coverage-Gated Sentiment Tilt records 11.91% and 0.78. Coverage-Gated reduces part of the Naive Tilt shortfall but does not beat Equal Weight. I interpret Coverage Lens mainly as evidence-breadth disclosure and signal-risk control, not as proof of sentiment alpha.</w:t>
      </w:r>
    </w:p>
    <w:p>
      <w:pPr>
        <w:pStyle w:val="Heading1"/>
      </w:pPr>
      <w:r>
        <w:t>1. Funds and Walk-Forward Backtest Design</w:t>
      </w:r>
    </w:p>
    <w:p>
      <w:r>
        <w:t>Signal Mosaic uses three return universes from the UNSW Business School FINS3645 project data bundle. The equity universe contains 50 US equities across ten sectors. The crypto universe contains 10 cryptocurrencies. The combined universe contains all 60 assets, but it is evaluated on the equity trading calendar. Crypto-only returns are computed on the native seven-day calendar and annualised with 365 observations per year. Equity and combined returns are annualised with 252 observations per year (UNSW Business School, 2026).</w:t>
      </w:r>
    </w:p>
    <w:p>
      <w:r>
        <w:t>Table 1 reports the sample and calendar design by family. The initial estimation window is calendar year 2020. For equity and combined funds, usable estimation returns run from 2020-01-03 to 2020-12-31, and the first live return is 2021-01-04. For crypto-only funds, estimation returns run from 2020-01-02 to 2020-12-31, and the first live return is 2021-01-01. The different first-live dates come from the different trading calendars.</w:t>
      </w:r>
    </w:p>
    <w:p>
      <w:pPr>
        <w:pStyle w:val="Caption"/>
        <w:keepNext/>
        <w:jc w:val="center"/>
      </w:pPr>
      <w:r>
        <w:rPr>
          <w:color w:val="142640"/>
          <w:sz w:val="17"/>
        </w:rPr>
        <w:t>Table 1. Walk-forward backtest design by asset family.</w:t>
      </w:r>
    </w:p>
    <w:tbl>
      <w:tblPr>
        <w:tblStyle w:val="TableGrid"/>
        <w:tblW w:type="dxa" w:w="9467"/>
        <w:jc w:val="center"/>
        <w:tblLayout w:type="fixed"/>
        <w:tblLook w:firstColumn="1" w:firstRow="1" w:lastColumn="0" w:lastRow="0" w:noHBand="0" w:noVBand="1" w:val="04A0"/>
      </w:tblPr>
      <w:tblGrid>
        <w:gridCol w:w="1020"/>
        <w:gridCol w:w="1701"/>
        <w:gridCol w:w="1077"/>
        <w:gridCol w:w="2381"/>
        <w:gridCol w:w="1644"/>
        <w:gridCol w:w="1644"/>
      </w:tblGrid>
      <w:tr>
        <w:trPr>
          <w:tblHeader/>
          <w:cantSplit/>
        </w:trPr>
        <w:tc>
          <w:tcPr>
            <w:tcW w:type="dxa" w:w="1020"/>
            <w:vAlign w:val="center"/>
            <w:shd w:fill="F2F4F5"/>
          </w:tcPr>
          <w:p>
            <w:pPr>
              <w:jc w:val="left"/>
            </w:pPr>
            <w:r/>
            <w:r>
              <w:rPr>
                <w:rFonts w:ascii="Aptos" w:hAnsi="Aptos"/>
                <w:b/>
                <w:sz w:val="15"/>
              </w:rPr>
              <w:t>Family</w:t>
            </w:r>
          </w:p>
        </w:tc>
        <w:tc>
          <w:tcPr>
            <w:tcW w:type="dxa" w:w="1701"/>
            <w:vAlign w:val="center"/>
            <w:shd w:fill="F2F4F5"/>
          </w:tcPr>
          <w:p>
            <w:pPr>
              <w:jc w:val="left"/>
            </w:pPr>
            <w:r/>
            <w:r>
              <w:rPr>
                <w:rFonts w:ascii="Aptos" w:hAnsi="Aptos"/>
                <w:b/>
                <w:sz w:val="15"/>
              </w:rPr>
              <w:t>Calendar</w:t>
            </w:r>
          </w:p>
        </w:tc>
        <w:tc>
          <w:tcPr>
            <w:tcW w:type="dxa" w:w="1077"/>
            <w:vAlign w:val="center"/>
            <w:shd w:fill="F2F4F5"/>
          </w:tcPr>
          <w:p>
            <w:pPr>
              <w:jc w:val="left"/>
            </w:pPr>
            <w:r/>
            <w:r>
              <w:rPr>
                <w:rFonts w:ascii="Aptos" w:hAnsi="Aptos"/>
                <w:b/>
                <w:sz w:val="15"/>
              </w:rPr>
              <w:t>Annualisation</w:t>
            </w:r>
          </w:p>
        </w:tc>
        <w:tc>
          <w:tcPr>
            <w:tcW w:type="dxa" w:w="2381"/>
            <w:vAlign w:val="center"/>
            <w:shd w:fill="F2F4F5"/>
          </w:tcPr>
          <w:p>
            <w:pPr>
              <w:jc w:val="left"/>
            </w:pPr>
            <w:r/>
            <w:r>
              <w:rPr>
                <w:rFonts w:ascii="Aptos" w:hAnsi="Aptos"/>
                <w:b/>
                <w:sz w:val="15"/>
              </w:rPr>
              <w:t>Initial estimation period</w:t>
            </w:r>
          </w:p>
        </w:tc>
        <w:tc>
          <w:tcPr>
            <w:tcW w:type="dxa" w:w="1644"/>
            <w:vAlign w:val="center"/>
            <w:shd w:fill="F2F4F5"/>
          </w:tcPr>
          <w:p>
            <w:pPr>
              <w:jc w:val="left"/>
            </w:pPr>
            <w:r/>
            <w:r>
              <w:rPr>
                <w:rFonts w:ascii="Aptos" w:hAnsi="Aptos"/>
                <w:b/>
                <w:sz w:val="15"/>
              </w:rPr>
              <w:t>First live date</w:t>
            </w:r>
          </w:p>
        </w:tc>
        <w:tc>
          <w:tcPr>
            <w:tcW w:type="dxa" w:w="1644"/>
            <w:vAlign w:val="center"/>
            <w:shd w:fill="F2F4F5"/>
          </w:tcPr>
          <w:p>
            <w:pPr>
              <w:jc w:val="left"/>
            </w:pPr>
            <w:r/>
            <w:r>
              <w:rPr>
                <w:rFonts w:ascii="Aptos" w:hAnsi="Aptos"/>
                <w:b/>
                <w:sz w:val="15"/>
              </w:rPr>
              <w:t>End date</w:t>
            </w:r>
          </w:p>
        </w:tc>
      </w:tr>
      <w:tr>
        <w:trPr>
          <w:cantSplit/>
        </w:trPr>
        <w:tc>
          <w:tcPr>
            <w:tcW w:type="dxa" w:w="1020"/>
            <w:vAlign w:val="center"/>
          </w:tcPr>
          <w:p>
            <w:pPr>
              <w:jc w:val="left"/>
            </w:pPr>
            <w:r/>
            <w:r>
              <w:rPr>
                <w:rFonts w:ascii="Aptos" w:hAnsi="Aptos"/>
                <w:b w:val="0"/>
                <w:sz w:val="15"/>
              </w:rPr>
              <w:t>Equity</w:t>
            </w:r>
          </w:p>
        </w:tc>
        <w:tc>
          <w:tcPr>
            <w:tcW w:type="dxa" w:w="1701"/>
            <w:vAlign w:val="center"/>
          </w:tcPr>
          <w:p>
            <w:pPr>
              <w:jc w:val="left"/>
            </w:pPr>
            <w:r/>
            <w:r>
              <w:rPr>
                <w:rFonts w:ascii="Aptos" w:hAnsi="Aptos"/>
                <w:b w:val="0"/>
                <w:sz w:val="15"/>
              </w:rPr>
              <w:t>equity trading calendar</w:t>
            </w:r>
          </w:p>
        </w:tc>
        <w:tc>
          <w:tcPr>
            <w:tcW w:type="dxa" w:w="1077"/>
            <w:vAlign w:val="center"/>
          </w:tcPr>
          <w:p>
            <w:pPr>
              <w:jc w:val="right"/>
            </w:pPr>
            <w:r/>
            <w:r>
              <w:rPr>
                <w:rFonts w:ascii="Aptos" w:hAnsi="Aptos"/>
                <w:b w:val="0"/>
                <w:sz w:val="15"/>
              </w:rPr>
              <w:t>252</w:t>
            </w:r>
          </w:p>
        </w:tc>
        <w:tc>
          <w:tcPr>
            <w:tcW w:type="dxa" w:w="2381"/>
            <w:vAlign w:val="center"/>
          </w:tcPr>
          <w:p>
            <w:pPr>
              <w:jc w:val="right"/>
            </w:pPr>
            <w:r/>
            <w:r>
              <w:rPr>
                <w:rFonts w:ascii="Aptos" w:hAnsi="Aptos"/>
                <w:b w:val="0"/>
                <w:sz w:val="15"/>
              </w:rPr>
              <w:t>2020-01-03 to 2020-12-31</w:t>
            </w:r>
          </w:p>
        </w:tc>
        <w:tc>
          <w:tcPr>
            <w:tcW w:type="dxa" w:w="1644"/>
            <w:vAlign w:val="center"/>
          </w:tcPr>
          <w:p>
            <w:pPr>
              <w:jc w:val="right"/>
            </w:pPr>
            <w:r/>
            <w:r>
              <w:rPr>
                <w:rFonts w:ascii="Aptos" w:hAnsi="Aptos"/>
                <w:b w:val="0"/>
                <w:sz w:val="15"/>
              </w:rPr>
              <w:t>2021-01-04</w:t>
            </w:r>
          </w:p>
        </w:tc>
        <w:tc>
          <w:tcPr>
            <w:tcW w:type="dxa" w:w="1644"/>
            <w:vAlign w:val="center"/>
          </w:tcPr>
          <w:p>
            <w:pPr>
              <w:jc w:val="right"/>
            </w:pPr>
            <w:r/>
            <w:r>
              <w:rPr>
                <w:rFonts w:ascii="Aptos" w:hAnsi="Aptos"/>
                <w:b w:val="0"/>
                <w:sz w:val="15"/>
              </w:rPr>
              <w:t>2023-12-29</w:t>
            </w:r>
          </w:p>
        </w:tc>
      </w:tr>
      <w:tr>
        <w:trPr>
          <w:cantSplit/>
        </w:trPr>
        <w:tc>
          <w:tcPr>
            <w:tcW w:type="dxa" w:w="1020"/>
            <w:vAlign w:val="center"/>
          </w:tcPr>
          <w:p>
            <w:pPr>
              <w:jc w:val="left"/>
            </w:pPr>
            <w:r/>
            <w:r>
              <w:rPr>
                <w:rFonts w:ascii="Aptos" w:hAnsi="Aptos"/>
                <w:b w:val="0"/>
                <w:sz w:val="15"/>
              </w:rPr>
              <w:t>Crypto</w:t>
            </w:r>
          </w:p>
        </w:tc>
        <w:tc>
          <w:tcPr>
            <w:tcW w:type="dxa" w:w="1701"/>
            <w:vAlign w:val="center"/>
          </w:tcPr>
          <w:p>
            <w:pPr>
              <w:jc w:val="left"/>
            </w:pPr>
            <w:r/>
            <w:r>
              <w:rPr>
                <w:rFonts w:ascii="Aptos" w:hAnsi="Aptos"/>
                <w:b w:val="0"/>
                <w:sz w:val="15"/>
              </w:rPr>
              <w:t>native seven-day calendar</w:t>
            </w:r>
          </w:p>
        </w:tc>
        <w:tc>
          <w:tcPr>
            <w:tcW w:type="dxa" w:w="1077"/>
            <w:vAlign w:val="center"/>
          </w:tcPr>
          <w:p>
            <w:pPr>
              <w:jc w:val="right"/>
            </w:pPr>
            <w:r/>
            <w:r>
              <w:rPr>
                <w:rFonts w:ascii="Aptos" w:hAnsi="Aptos"/>
                <w:b w:val="0"/>
                <w:sz w:val="15"/>
              </w:rPr>
              <w:t>365</w:t>
            </w:r>
          </w:p>
        </w:tc>
        <w:tc>
          <w:tcPr>
            <w:tcW w:type="dxa" w:w="2381"/>
            <w:vAlign w:val="center"/>
          </w:tcPr>
          <w:p>
            <w:pPr>
              <w:jc w:val="right"/>
            </w:pPr>
            <w:r/>
            <w:r>
              <w:rPr>
                <w:rFonts w:ascii="Aptos" w:hAnsi="Aptos"/>
                <w:b w:val="0"/>
                <w:sz w:val="15"/>
              </w:rPr>
              <w:t>2020-01-02 to 2020-12-31</w:t>
            </w:r>
          </w:p>
        </w:tc>
        <w:tc>
          <w:tcPr>
            <w:tcW w:type="dxa" w:w="1644"/>
            <w:vAlign w:val="center"/>
          </w:tcPr>
          <w:p>
            <w:pPr>
              <w:jc w:val="right"/>
            </w:pPr>
            <w:r/>
            <w:r>
              <w:rPr>
                <w:rFonts w:ascii="Aptos" w:hAnsi="Aptos"/>
                <w:b w:val="0"/>
                <w:sz w:val="15"/>
              </w:rPr>
              <w:t>2021-01-01</w:t>
            </w:r>
          </w:p>
        </w:tc>
        <w:tc>
          <w:tcPr>
            <w:tcW w:type="dxa" w:w="1644"/>
            <w:vAlign w:val="center"/>
          </w:tcPr>
          <w:p>
            <w:pPr>
              <w:jc w:val="right"/>
            </w:pPr>
            <w:r/>
            <w:r>
              <w:rPr>
                <w:rFonts w:ascii="Aptos" w:hAnsi="Aptos"/>
                <w:b w:val="0"/>
                <w:sz w:val="15"/>
              </w:rPr>
              <w:t>2023-12-31</w:t>
            </w:r>
          </w:p>
        </w:tc>
      </w:tr>
      <w:tr>
        <w:trPr>
          <w:cantSplit/>
        </w:trPr>
        <w:tc>
          <w:tcPr>
            <w:tcW w:type="dxa" w:w="1020"/>
            <w:vAlign w:val="center"/>
          </w:tcPr>
          <w:p>
            <w:pPr>
              <w:jc w:val="left"/>
            </w:pPr>
            <w:r/>
            <w:r>
              <w:rPr>
                <w:rFonts w:ascii="Aptos" w:hAnsi="Aptos"/>
                <w:b w:val="0"/>
                <w:sz w:val="15"/>
              </w:rPr>
              <w:t>Combined</w:t>
            </w:r>
          </w:p>
        </w:tc>
        <w:tc>
          <w:tcPr>
            <w:tcW w:type="dxa" w:w="1701"/>
            <w:vAlign w:val="center"/>
          </w:tcPr>
          <w:p>
            <w:pPr>
              <w:jc w:val="left"/>
            </w:pPr>
            <w:r/>
            <w:r>
              <w:rPr>
                <w:rFonts w:ascii="Aptos" w:hAnsi="Aptos"/>
                <w:b w:val="0"/>
                <w:sz w:val="15"/>
              </w:rPr>
              <w:t>equity trading calendar with same-date native crypto returns</w:t>
            </w:r>
          </w:p>
        </w:tc>
        <w:tc>
          <w:tcPr>
            <w:tcW w:type="dxa" w:w="1077"/>
            <w:vAlign w:val="center"/>
          </w:tcPr>
          <w:p>
            <w:pPr>
              <w:jc w:val="right"/>
            </w:pPr>
            <w:r/>
            <w:r>
              <w:rPr>
                <w:rFonts w:ascii="Aptos" w:hAnsi="Aptos"/>
                <w:b w:val="0"/>
                <w:sz w:val="15"/>
              </w:rPr>
              <w:t>252</w:t>
            </w:r>
          </w:p>
        </w:tc>
        <w:tc>
          <w:tcPr>
            <w:tcW w:type="dxa" w:w="2381"/>
            <w:vAlign w:val="center"/>
          </w:tcPr>
          <w:p>
            <w:pPr>
              <w:jc w:val="right"/>
            </w:pPr>
            <w:r/>
            <w:r>
              <w:rPr>
                <w:rFonts w:ascii="Aptos" w:hAnsi="Aptos"/>
                <w:b w:val="0"/>
                <w:sz w:val="15"/>
              </w:rPr>
              <w:t>2020-01-03 to 2020-12-31</w:t>
            </w:r>
          </w:p>
        </w:tc>
        <w:tc>
          <w:tcPr>
            <w:tcW w:type="dxa" w:w="1644"/>
            <w:vAlign w:val="center"/>
          </w:tcPr>
          <w:p>
            <w:pPr>
              <w:jc w:val="right"/>
            </w:pPr>
            <w:r/>
            <w:r>
              <w:rPr>
                <w:rFonts w:ascii="Aptos" w:hAnsi="Aptos"/>
                <w:b w:val="0"/>
                <w:sz w:val="15"/>
              </w:rPr>
              <w:t>2021-01-04</w:t>
            </w:r>
          </w:p>
        </w:tc>
        <w:tc>
          <w:tcPr>
            <w:tcW w:type="dxa" w:w="1644"/>
            <w:vAlign w:val="center"/>
          </w:tcPr>
          <w:p>
            <w:pPr>
              <w:jc w:val="right"/>
            </w:pPr>
            <w:r/>
            <w:r>
              <w:rPr>
                <w:rFonts w:ascii="Aptos" w:hAnsi="Aptos"/>
                <w:b w:val="0"/>
                <w:sz w:val="15"/>
              </w:rPr>
              <w:t>2023-12-29</w:t>
            </w:r>
          </w:p>
        </w:tc>
      </w:tr>
    </w:tbl>
    <w:p/>
    <w:p>
      <w:pPr>
        <w:spacing w:after="80"/>
      </w:pPr>
      <w:r>
        <w:rPr>
          <w:i/>
          <w:color w:val="505050"/>
          <w:sz w:val="16"/>
        </w:rPr>
        <w:t>Source: UNSW Business School FINS3645 Project Data Bundle; Signal Mosaic calculations.</w:t>
      </w:r>
    </w:p>
    <w:p>
      <w:pPr>
        <w:ind w:left="170" w:right="170"/>
      </w:pPr>
      <w:r>
        <w:rPr>
          <w:i/>
          <w:sz w:val="17"/>
        </w:rPr>
        <w:t>Note: All fund backtests use an expanding estimation window, monthly rebalancing, past information only, monthly buy-and-hold drift, long-only optimised funds, a 20% asset cap for optimised funds, rf = 0, a 10 basis-point one-way turnover cost, and no initial establishment cost.</w:t>
      </w:r>
    </w:p>
    <w:p>
      <w:r>
        <w:t>At each monthly rebalance date, the optimiser uses returns strictly before that date. The rebalance date is the first available observation of each calendar month. Target weights then apply to that date's return, and weights drift with realised daily returns until the next monthly rebalance. This creates a look-ahead-controlled historical simulation based only on prior information, not live performance.</w:t>
      </w:r>
    </w:p>
    <w:p>
      <w:r>
        <w:t>The base method set is transparent. Equal Weight allocates 1/N across the relevant assets. Minimum Variance solves for long-only, fully invested weights that minimise estimated covariance-based variance, without expected-return estimates (Markowitz, 1952). Risk Parity solves for long-only, fully invested weights that bring asset risk contributions close to equal. Optimised funds use a 20% maximum target weight per asset; Equal Weight remains 1/N.</w:t>
      </w:r>
    </w:p>
    <w:p>
      <w:r>
        <w:t>Net returns include a simple transaction-cost assumption: 10 basis points per dollar of one-way turnover at scheduled rebalances after inception. Turnover is one half of the sum of absolute differences between target and drifted pre-trade weights. The initial establishment trade is not charged. Gross and net histories are retained, but the report uses net results for headline comparisons.</w:t>
      </w:r>
    </w:p>
    <w:p>
      <w:r>
        <w:t>The combined funds use same-date native crypto returns left-joined to the equity calendar. Weekend-only crypto returns are excluded because the combined product is evaluated on equity trading days. Crypto-only funds keep weekend returns on the native seven-day calendar. This distinction matters when comparing families, because the daily observations are not identical across all funds.</w:t>
      </w:r>
    </w:p>
    <w:p>
      <w:pPr>
        <w:pStyle w:val="Heading1"/>
      </w:pPr>
      <w:r>
        <w:t>2. Out-of-Sample Results and Fund Fact Sheets</w:t>
      </w:r>
    </w:p>
    <w:p>
      <w:r>
        <w:t>Table 2 compares the eleven final funds using net annualised return, net annualised volatility, net Sharpe, and maximum drawdown. The nine base funds are Equity Equal Weight, Equity Minimum Variance, Equity Risk Parity, Crypto Equal Weight, Crypto Minimum Variance, Crypto Risk Parity, Combined Equal Weight, Combined Minimum Variance, and Combined Risk Parity. The fusion stage adds Equity Naive Sentiment Tilt and Equity Coverage-Gated Sentiment Tilt. Figure 1 plots the same funds by net return and volatility.</w:t>
      </w:r>
    </w:p>
    <w:p>
      <w:pPr>
        <w:pStyle w:val="Caption"/>
        <w:keepNext/>
        <w:jc w:val="center"/>
      </w:pPr>
      <w:r>
        <w:rPr>
          <w:color w:val="142640"/>
          <w:sz w:val="17"/>
        </w:rPr>
        <w:t>Table 2. Net out-of-sample performance across the eleven Signal Mosaic funds, 2021-2023.</w:t>
      </w:r>
    </w:p>
    <w:tbl>
      <w:tblPr>
        <w:tblStyle w:val="TableGrid"/>
        <w:tblW w:type="dxa" w:w="9295"/>
        <w:jc w:val="center"/>
        <w:tblLayout w:type="fixed"/>
        <w:tblLook w:firstColumn="1" w:firstRow="1" w:lastColumn="0" w:lastRow="0" w:noHBand="0" w:noVBand="1" w:val="04A0"/>
      </w:tblPr>
      <w:tblGrid>
        <w:gridCol w:w="2835"/>
        <w:gridCol w:w="1020"/>
        <w:gridCol w:w="1530"/>
        <w:gridCol w:w="1417"/>
        <w:gridCol w:w="963"/>
        <w:gridCol w:w="1530"/>
      </w:tblGrid>
      <w:tr>
        <w:trPr>
          <w:tblHeader/>
          <w:cantSplit/>
        </w:trPr>
        <w:tc>
          <w:tcPr>
            <w:tcW w:type="dxa" w:w="2835"/>
            <w:vAlign w:val="center"/>
            <w:shd w:fill="F2F4F5"/>
          </w:tcPr>
          <w:p>
            <w:pPr>
              <w:jc w:val="left"/>
            </w:pPr>
            <w:r/>
            <w:r>
              <w:rPr>
                <w:rFonts w:ascii="Aptos" w:hAnsi="Aptos"/>
                <w:b/>
                <w:sz w:val="15"/>
              </w:rPr>
              <w:t>Fund</w:t>
            </w:r>
          </w:p>
        </w:tc>
        <w:tc>
          <w:tcPr>
            <w:tcW w:type="dxa" w:w="1020"/>
            <w:vAlign w:val="center"/>
            <w:shd w:fill="F2F4F5"/>
          </w:tcPr>
          <w:p>
            <w:pPr>
              <w:jc w:val="left"/>
            </w:pPr>
            <w:r/>
            <w:r>
              <w:rPr>
                <w:rFonts w:ascii="Aptos" w:hAnsi="Aptos"/>
                <w:b/>
                <w:sz w:val="15"/>
              </w:rPr>
              <w:t>Family</w:t>
            </w:r>
          </w:p>
        </w:tc>
        <w:tc>
          <w:tcPr>
            <w:tcW w:type="dxa" w:w="1531"/>
            <w:vAlign w:val="center"/>
            <w:shd w:fill="F2F4F5"/>
          </w:tcPr>
          <w:p>
            <w:pPr>
              <w:jc w:val="left"/>
            </w:pPr>
            <w:r/>
            <w:r>
              <w:rPr>
                <w:rFonts w:ascii="Aptos" w:hAnsi="Aptos"/>
                <w:b/>
                <w:sz w:val="15"/>
              </w:rPr>
              <w:t>Net annualised return</w:t>
            </w:r>
          </w:p>
        </w:tc>
        <w:tc>
          <w:tcPr>
            <w:tcW w:type="dxa" w:w="1417"/>
            <w:vAlign w:val="center"/>
            <w:shd w:fill="F2F4F5"/>
          </w:tcPr>
          <w:p>
            <w:pPr>
              <w:jc w:val="left"/>
            </w:pPr>
            <w:r/>
            <w:r>
              <w:rPr>
                <w:rFonts w:ascii="Aptos" w:hAnsi="Aptos"/>
                <w:b/>
                <w:sz w:val="15"/>
              </w:rPr>
              <w:t>Net volatility</w:t>
            </w:r>
          </w:p>
        </w:tc>
        <w:tc>
          <w:tcPr>
            <w:tcW w:type="dxa" w:w="964"/>
            <w:vAlign w:val="center"/>
            <w:shd w:fill="F2F4F5"/>
          </w:tcPr>
          <w:p>
            <w:pPr>
              <w:jc w:val="left"/>
            </w:pPr>
            <w:r/>
            <w:r>
              <w:rPr>
                <w:rFonts w:ascii="Aptos" w:hAnsi="Aptos"/>
                <w:b/>
                <w:sz w:val="15"/>
              </w:rPr>
              <w:t>Net Sharpe</w:t>
            </w:r>
          </w:p>
        </w:tc>
        <w:tc>
          <w:tcPr>
            <w:tcW w:type="dxa" w:w="1531"/>
            <w:vAlign w:val="center"/>
            <w:shd w:fill="F2F4F5"/>
          </w:tcPr>
          <w:p>
            <w:pPr>
              <w:jc w:val="left"/>
            </w:pPr>
            <w:r/>
            <w:r>
              <w:rPr>
                <w:rFonts w:ascii="Aptos" w:hAnsi="Aptos"/>
                <w:b/>
                <w:sz w:val="15"/>
              </w:rPr>
              <w:t>Maximum drawdown</w:t>
            </w:r>
          </w:p>
        </w:tc>
      </w:tr>
      <w:tr>
        <w:trPr>
          <w:cantSplit/>
        </w:trPr>
        <w:tc>
          <w:tcPr>
            <w:tcW w:type="dxa" w:w="2835"/>
            <w:vAlign w:val="center"/>
          </w:tcPr>
          <w:p>
            <w:pPr>
              <w:jc w:val="left"/>
            </w:pPr>
            <w:r/>
            <w:r>
              <w:rPr>
                <w:rFonts w:ascii="Aptos" w:hAnsi="Aptos"/>
                <w:b w:val="0"/>
                <w:sz w:val="15"/>
              </w:rPr>
              <w:t>Equity Equal Weight</w:t>
            </w:r>
          </w:p>
        </w:tc>
        <w:tc>
          <w:tcPr>
            <w:tcW w:type="dxa" w:w="1020"/>
            <w:vAlign w:val="center"/>
          </w:tcPr>
          <w:p>
            <w:pPr>
              <w:jc w:val="left"/>
            </w:pPr>
            <w:r/>
            <w:r>
              <w:rPr>
                <w:rFonts w:ascii="Aptos" w:hAnsi="Aptos"/>
                <w:b w:val="0"/>
                <w:sz w:val="15"/>
              </w:rPr>
              <w:t>Equity</w:t>
            </w:r>
          </w:p>
        </w:tc>
        <w:tc>
          <w:tcPr>
            <w:tcW w:type="dxa" w:w="1531"/>
            <w:vAlign w:val="center"/>
          </w:tcPr>
          <w:p>
            <w:pPr>
              <w:jc w:val="right"/>
            </w:pPr>
            <w:r/>
            <w:r>
              <w:rPr>
                <w:rFonts w:ascii="Aptos" w:hAnsi="Aptos"/>
                <w:b w:val="0"/>
                <w:sz w:val="15"/>
              </w:rPr>
              <w:t>12.61%</w:t>
            </w:r>
          </w:p>
        </w:tc>
        <w:tc>
          <w:tcPr>
            <w:tcW w:type="dxa" w:w="1417"/>
            <w:vAlign w:val="center"/>
          </w:tcPr>
          <w:p>
            <w:pPr>
              <w:jc w:val="right"/>
            </w:pPr>
            <w:r/>
            <w:r>
              <w:rPr>
                <w:rFonts w:ascii="Aptos" w:hAnsi="Aptos"/>
                <w:b w:val="0"/>
                <w:sz w:val="15"/>
              </w:rPr>
              <w:t>16.12%</w:t>
            </w:r>
          </w:p>
        </w:tc>
        <w:tc>
          <w:tcPr>
            <w:tcW w:type="dxa" w:w="964"/>
            <w:vAlign w:val="center"/>
          </w:tcPr>
          <w:p>
            <w:pPr>
              <w:jc w:val="right"/>
            </w:pPr>
            <w:r/>
            <w:r>
              <w:rPr>
                <w:rFonts w:ascii="Aptos" w:hAnsi="Aptos"/>
                <w:b w:val="0"/>
                <w:sz w:val="15"/>
              </w:rPr>
              <w:t>0.82</w:t>
            </w:r>
          </w:p>
        </w:tc>
        <w:tc>
          <w:tcPr>
            <w:tcW w:type="dxa" w:w="1531"/>
            <w:vAlign w:val="center"/>
          </w:tcPr>
          <w:p>
            <w:pPr>
              <w:jc w:val="right"/>
            </w:pPr>
            <w:r/>
            <w:r>
              <w:rPr>
                <w:rFonts w:ascii="Aptos" w:hAnsi="Aptos"/>
                <w:b w:val="0"/>
                <w:sz w:val="15"/>
              </w:rPr>
              <w:t>-20.26%</w:t>
            </w:r>
          </w:p>
        </w:tc>
      </w:tr>
      <w:tr>
        <w:trPr>
          <w:cantSplit/>
        </w:trPr>
        <w:tc>
          <w:tcPr>
            <w:tcW w:type="dxa" w:w="2835"/>
            <w:vAlign w:val="center"/>
          </w:tcPr>
          <w:p>
            <w:pPr>
              <w:jc w:val="left"/>
            </w:pPr>
            <w:r/>
            <w:r>
              <w:rPr>
                <w:rFonts w:ascii="Aptos" w:hAnsi="Aptos"/>
                <w:b w:val="0"/>
                <w:sz w:val="15"/>
              </w:rPr>
              <w:t>Equity Minimum Variance</w:t>
            </w:r>
          </w:p>
        </w:tc>
        <w:tc>
          <w:tcPr>
            <w:tcW w:type="dxa" w:w="1020"/>
            <w:vAlign w:val="center"/>
          </w:tcPr>
          <w:p>
            <w:pPr>
              <w:jc w:val="left"/>
            </w:pPr>
            <w:r/>
            <w:r>
              <w:rPr>
                <w:rFonts w:ascii="Aptos" w:hAnsi="Aptos"/>
                <w:b w:val="0"/>
                <w:sz w:val="15"/>
              </w:rPr>
              <w:t>Equity</w:t>
            </w:r>
          </w:p>
        </w:tc>
        <w:tc>
          <w:tcPr>
            <w:tcW w:type="dxa" w:w="1531"/>
            <w:vAlign w:val="center"/>
          </w:tcPr>
          <w:p>
            <w:pPr>
              <w:jc w:val="right"/>
            </w:pPr>
            <w:r/>
            <w:r>
              <w:rPr>
                <w:rFonts w:ascii="Aptos" w:hAnsi="Aptos"/>
                <w:b w:val="0"/>
                <w:sz w:val="15"/>
              </w:rPr>
              <w:t>7.05%</w:t>
            </w:r>
          </w:p>
        </w:tc>
        <w:tc>
          <w:tcPr>
            <w:tcW w:type="dxa" w:w="1417"/>
            <w:vAlign w:val="center"/>
          </w:tcPr>
          <w:p>
            <w:pPr>
              <w:jc w:val="right"/>
            </w:pPr>
            <w:r/>
            <w:r>
              <w:rPr>
                <w:rFonts w:ascii="Aptos" w:hAnsi="Aptos"/>
                <w:b w:val="0"/>
                <w:sz w:val="15"/>
              </w:rPr>
              <w:t>12.73%</w:t>
            </w:r>
          </w:p>
        </w:tc>
        <w:tc>
          <w:tcPr>
            <w:tcW w:type="dxa" w:w="964"/>
            <w:vAlign w:val="center"/>
          </w:tcPr>
          <w:p>
            <w:pPr>
              <w:jc w:val="right"/>
            </w:pPr>
            <w:r/>
            <w:r>
              <w:rPr>
                <w:rFonts w:ascii="Aptos" w:hAnsi="Aptos"/>
                <w:b w:val="0"/>
                <w:sz w:val="15"/>
              </w:rPr>
              <w:t>0.60</w:t>
            </w:r>
          </w:p>
        </w:tc>
        <w:tc>
          <w:tcPr>
            <w:tcW w:type="dxa" w:w="1531"/>
            <w:vAlign w:val="center"/>
          </w:tcPr>
          <w:p>
            <w:pPr>
              <w:jc w:val="right"/>
            </w:pPr>
            <w:r/>
            <w:r>
              <w:rPr>
                <w:rFonts w:ascii="Aptos" w:hAnsi="Aptos"/>
                <w:b w:val="0"/>
                <w:sz w:val="15"/>
              </w:rPr>
              <w:t>-17.84%</w:t>
            </w:r>
          </w:p>
        </w:tc>
      </w:tr>
      <w:tr>
        <w:trPr>
          <w:cantSplit/>
        </w:trPr>
        <w:tc>
          <w:tcPr>
            <w:tcW w:type="dxa" w:w="2835"/>
            <w:vAlign w:val="center"/>
          </w:tcPr>
          <w:p>
            <w:pPr>
              <w:jc w:val="left"/>
            </w:pPr>
            <w:r/>
            <w:r>
              <w:rPr>
                <w:rFonts w:ascii="Aptos" w:hAnsi="Aptos"/>
                <w:b w:val="0"/>
                <w:sz w:val="15"/>
              </w:rPr>
              <w:t>Equity Risk Parity</w:t>
            </w:r>
          </w:p>
        </w:tc>
        <w:tc>
          <w:tcPr>
            <w:tcW w:type="dxa" w:w="1020"/>
            <w:vAlign w:val="center"/>
          </w:tcPr>
          <w:p>
            <w:pPr>
              <w:jc w:val="left"/>
            </w:pPr>
            <w:r/>
            <w:r>
              <w:rPr>
                <w:rFonts w:ascii="Aptos" w:hAnsi="Aptos"/>
                <w:b w:val="0"/>
                <w:sz w:val="15"/>
              </w:rPr>
              <w:t>Equity</w:t>
            </w:r>
          </w:p>
        </w:tc>
        <w:tc>
          <w:tcPr>
            <w:tcW w:type="dxa" w:w="1531"/>
            <w:vAlign w:val="center"/>
          </w:tcPr>
          <w:p>
            <w:pPr>
              <w:jc w:val="right"/>
            </w:pPr>
            <w:r/>
            <w:r>
              <w:rPr>
                <w:rFonts w:ascii="Aptos" w:hAnsi="Aptos"/>
                <w:b w:val="0"/>
                <w:sz w:val="15"/>
              </w:rPr>
              <w:t>10.04%</w:t>
            </w:r>
          </w:p>
        </w:tc>
        <w:tc>
          <w:tcPr>
            <w:tcW w:type="dxa" w:w="1417"/>
            <w:vAlign w:val="center"/>
          </w:tcPr>
          <w:p>
            <w:pPr>
              <w:jc w:val="right"/>
            </w:pPr>
            <w:r/>
            <w:r>
              <w:rPr>
                <w:rFonts w:ascii="Aptos" w:hAnsi="Aptos"/>
                <w:b w:val="0"/>
                <w:sz w:val="15"/>
              </w:rPr>
              <w:t>14.93%</w:t>
            </w:r>
          </w:p>
        </w:tc>
        <w:tc>
          <w:tcPr>
            <w:tcW w:type="dxa" w:w="964"/>
            <w:vAlign w:val="center"/>
          </w:tcPr>
          <w:p>
            <w:pPr>
              <w:jc w:val="right"/>
            </w:pPr>
            <w:r/>
            <w:r>
              <w:rPr>
                <w:rFonts w:ascii="Aptos" w:hAnsi="Aptos"/>
                <w:b w:val="0"/>
                <w:sz w:val="15"/>
              </w:rPr>
              <w:t>0.72</w:t>
            </w:r>
          </w:p>
        </w:tc>
        <w:tc>
          <w:tcPr>
            <w:tcW w:type="dxa" w:w="1531"/>
            <w:vAlign w:val="center"/>
          </w:tcPr>
          <w:p>
            <w:pPr>
              <w:jc w:val="right"/>
            </w:pPr>
            <w:r/>
            <w:r>
              <w:rPr>
                <w:rFonts w:ascii="Aptos" w:hAnsi="Aptos"/>
                <w:b w:val="0"/>
                <w:sz w:val="15"/>
              </w:rPr>
              <w:t>-19.41%</w:t>
            </w:r>
          </w:p>
        </w:tc>
      </w:tr>
      <w:tr>
        <w:trPr>
          <w:cantSplit/>
        </w:trPr>
        <w:tc>
          <w:tcPr>
            <w:tcW w:type="dxa" w:w="2835"/>
            <w:vAlign w:val="center"/>
          </w:tcPr>
          <w:p>
            <w:pPr>
              <w:jc w:val="left"/>
            </w:pPr>
            <w:r/>
            <w:r>
              <w:rPr>
                <w:rFonts w:ascii="Aptos" w:hAnsi="Aptos"/>
                <w:b w:val="0"/>
                <w:sz w:val="15"/>
              </w:rPr>
              <w:t>Equity Naive Sentiment Tilt</w:t>
            </w:r>
          </w:p>
        </w:tc>
        <w:tc>
          <w:tcPr>
            <w:tcW w:type="dxa" w:w="1020"/>
            <w:vAlign w:val="center"/>
          </w:tcPr>
          <w:p>
            <w:pPr>
              <w:jc w:val="left"/>
            </w:pPr>
            <w:r/>
            <w:r>
              <w:rPr>
                <w:rFonts w:ascii="Aptos" w:hAnsi="Aptos"/>
                <w:b w:val="0"/>
                <w:sz w:val="15"/>
              </w:rPr>
              <w:t>Equity</w:t>
            </w:r>
          </w:p>
        </w:tc>
        <w:tc>
          <w:tcPr>
            <w:tcW w:type="dxa" w:w="1531"/>
            <w:vAlign w:val="center"/>
          </w:tcPr>
          <w:p>
            <w:pPr>
              <w:jc w:val="right"/>
            </w:pPr>
            <w:r/>
            <w:r>
              <w:rPr>
                <w:rFonts w:ascii="Aptos" w:hAnsi="Aptos"/>
                <w:b w:val="0"/>
                <w:sz w:val="15"/>
              </w:rPr>
              <w:t>11.65%</w:t>
            </w:r>
          </w:p>
        </w:tc>
        <w:tc>
          <w:tcPr>
            <w:tcW w:type="dxa" w:w="1417"/>
            <w:vAlign w:val="center"/>
          </w:tcPr>
          <w:p>
            <w:pPr>
              <w:jc w:val="right"/>
            </w:pPr>
            <w:r/>
            <w:r>
              <w:rPr>
                <w:rFonts w:ascii="Aptos" w:hAnsi="Aptos"/>
                <w:b w:val="0"/>
                <w:sz w:val="15"/>
              </w:rPr>
              <w:t>15.97%</w:t>
            </w:r>
          </w:p>
        </w:tc>
        <w:tc>
          <w:tcPr>
            <w:tcW w:type="dxa" w:w="964"/>
            <w:vAlign w:val="center"/>
          </w:tcPr>
          <w:p>
            <w:pPr>
              <w:jc w:val="right"/>
            </w:pPr>
            <w:r/>
            <w:r>
              <w:rPr>
                <w:rFonts w:ascii="Aptos" w:hAnsi="Aptos"/>
                <w:b w:val="0"/>
                <w:sz w:val="15"/>
              </w:rPr>
              <w:t>0.77</w:t>
            </w:r>
          </w:p>
        </w:tc>
        <w:tc>
          <w:tcPr>
            <w:tcW w:type="dxa" w:w="1531"/>
            <w:vAlign w:val="center"/>
          </w:tcPr>
          <w:p>
            <w:pPr>
              <w:jc w:val="right"/>
            </w:pPr>
            <w:r/>
            <w:r>
              <w:rPr>
                <w:rFonts w:ascii="Aptos" w:hAnsi="Aptos"/>
                <w:b w:val="0"/>
                <w:sz w:val="15"/>
              </w:rPr>
              <w:t>-20.13%</w:t>
            </w:r>
          </w:p>
        </w:tc>
      </w:tr>
      <w:tr>
        <w:trPr>
          <w:cantSplit/>
        </w:trPr>
        <w:tc>
          <w:tcPr>
            <w:tcW w:type="dxa" w:w="2835"/>
            <w:vAlign w:val="center"/>
          </w:tcPr>
          <w:p>
            <w:pPr>
              <w:jc w:val="left"/>
            </w:pPr>
            <w:r/>
            <w:r>
              <w:rPr>
                <w:rFonts w:ascii="Aptos" w:hAnsi="Aptos"/>
                <w:b w:val="0"/>
                <w:sz w:val="15"/>
              </w:rPr>
              <w:t>Equity Coverage-Gated Sentiment Tilt</w:t>
            </w:r>
          </w:p>
        </w:tc>
        <w:tc>
          <w:tcPr>
            <w:tcW w:type="dxa" w:w="1020"/>
            <w:vAlign w:val="center"/>
          </w:tcPr>
          <w:p>
            <w:pPr>
              <w:jc w:val="left"/>
            </w:pPr>
            <w:r/>
            <w:r>
              <w:rPr>
                <w:rFonts w:ascii="Aptos" w:hAnsi="Aptos"/>
                <w:b w:val="0"/>
                <w:sz w:val="15"/>
              </w:rPr>
              <w:t>Equity</w:t>
            </w:r>
          </w:p>
        </w:tc>
        <w:tc>
          <w:tcPr>
            <w:tcW w:type="dxa" w:w="1531"/>
            <w:vAlign w:val="center"/>
          </w:tcPr>
          <w:p>
            <w:pPr>
              <w:jc w:val="right"/>
            </w:pPr>
            <w:r/>
            <w:r>
              <w:rPr>
                <w:rFonts w:ascii="Aptos" w:hAnsi="Aptos"/>
                <w:b w:val="0"/>
                <w:sz w:val="15"/>
              </w:rPr>
              <w:t>11.91%</w:t>
            </w:r>
          </w:p>
        </w:tc>
        <w:tc>
          <w:tcPr>
            <w:tcW w:type="dxa" w:w="1417"/>
            <w:vAlign w:val="center"/>
          </w:tcPr>
          <w:p>
            <w:pPr>
              <w:jc w:val="right"/>
            </w:pPr>
            <w:r/>
            <w:r>
              <w:rPr>
                <w:rFonts w:ascii="Aptos" w:hAnsi="Aptos"/>
                <w:b w:val="0"/>
                <w:sz w:val="15"/>
              </w:rPr>
              <w:t>16.00%</w:t>
            </w:r>
          </w:p>
        </w:tc>
        <w:tc>
          <w:tcPr>
            <w:tcW w:type="dxa" w:w="964"/>
            <w:vAlign w:val="center"/>
          </w:tcPr>
          <w:p>
            <w:pPr>
              <w:jc w:val="right"/>
            </w:pPr>
            <w:r/>
            <w:r>
              <w:rPr>
                <w:rFonts w:ascii="Aptos" w:hAnsi="Aptos"/>
                <w:b w:val="0"/>
                <w:sz w:val="15"/>
              </w:rPr>
              <w:t>0.78</w:t>
            </w:r>
          </w:p>
        </w:tc>
        <w:tc>
          <w:tcPr>
            <w:tcW w:type="dxa" w:w="1531"/>
            <w:vAlign w:val="center"/>
          </w:tcPr>
          <w:p>
            <w:pPr>
              <w:jc w:val="right"/>
            </w:pPr>
            <w:r/>
            <w:r>
              <w:rPr>
                <w:rFonts w:ascii="Aptos" w:hAnsi="Aptos"/>
                <w:b w:val="0"/>
                <w:sz w:val="15"/>
              </w:rPr>
              <w:t>-20.14%</w:t>
            </w:r>
          </w:p>
        </w:tc>
      </w:tr>
      <w:tr>
        <w:trPr>
          <w:cantSplit/>
        </w:trPr>
        <w:tc>
          <w:tcPr>
            <w:tcW w:type="dxa" w:w="2835"/>
            <w:vAlign w:val="center"/>
          </w:tcPr>
          <w:p>
            <w:pPr>
              <w:jc w:val="left"/>
            </w:pPr>
            <w:r/>
            <w:r>
              <w:rPr>
                <w:rFonts w:ascii="Aptos" w:hAnsi="Aptos"/>
                <w:b w:val="0"/>
                <w:sz w:val="15"/>
              </w:rPr>
              <w:t>Crypto Equal Weight</w:t>
            </w:r>
          </w:p>
        </w:tc>
        <w:tc>
          <w:tcPr>
            <w:tcW w:type="dxa" w:w="1020"/>
            <w:vAlign w:val="center"/>
          </w:tcPr>
          <w:p>
            <w:pPr>
              <w:jc w:val="left"/>
            </w:pPr>
            <w:r/>
            <w:r>
              <w:rPr>
                <w:rFonts w:ascii="Aptos" w:hAnsi="Aptos"/>
                <w:b w:val="0"/>
                <w:sz w:val="15"/>
              </w:rPr>
              <w:t>Crypto</w:t>
            </w:r>
          </w:p>
        </w:tc>
        <w:tc>
          <w:tcPr>
            <w:tcW w:type="dxa" w:w="1531"/>
            <w:vAlign w:val="center"/>
          </w:tcPr>
          <w:p>
            <w:pPr>
              <w:jc w:val="right"/>
            </w:pPr>
            <w:r/>
            <w:r>
              <w:rPr>
                <w:rFonts w:ascii="Aptos" w:hAnsi="Aptos"/>
                <w:b w:val="0"/>
                <w:sz w:val="15"/>
              </w:rPr>
              <w:t>40.41%</w:t>
            </w:r>
          </w:p>
        </w:tc>
        <w:tc>
          <w:tcPr>
            <w:tcW w:type="dxa" w:w="1417"/>
            <w:vAlign w:val="center"/>
          </w:tcPr>
          <w:p>
            <w:pPr>
              <w:jc w:val="right"/>
            </w:pPr>
            <w:r/>
            <w:r>
              <w:rPr>
                <w:rFonts w:ascii="Aptos" w:hAnsi="Aptos"/>
                <w:b w:val="0"/>
                <w:sz w:val="15"/>
              </w:rPr>
              <w:t>81.89%</w:t>
            </w:r>
          </w:p>
        </w:tc>
        <w:tc>
          <w:tcPr>
            <w:tcW w:type="dxa" w:w="964"/>
            <w:vAlign w:val="center"/>
          </w:tcPr>
          <w:p>
            <w:pPr>
              <w:jc w:val="right"/>
            </w:pPr>
            <w:r/>
            <w:r>
              <w:rPr>
                <w:rFonts w:ascii="Aptos" w:hAnsi="Aptos"/>
                <w:b w:val="0"/>
                <w:sz w:val="15"/>
              </w:rPr>
              <w:t>0.83</w:t>
            </w:r>
          </w:p>
        </w:tc>
        <w:tc>
          <w:tcPr>
            <w:tcW w:type="dxa" w:w="1531"/>
            <w:vAlign w:val="center"/>
          </w:tcPr>
          <w:p>
            <w:pPr>
              <w:jc w:val="right"/>
            </w:pPr>
            <w:r/>
            <w:r>
              <w:rPr>
                <w:rFonts w:ascii="Aptos" w:hAnsi="Aptos"/>
                <w:b w:val="0"/>
                <w:sz w:val="15"/>
              </w:rPr>
              <w:t>-81.59%</w:t>
            </w:r>
          </w:p>
        </w:tc>
      </w:tr>
      <w:tr>
        <w:trPr>
          <w:cantSplit/>
        </w:trPr>
        <w:tc>
          <w:tcPr>
            <w:tcW w:type="dxa" w:w="2835"/>
            <w:vAlign w:val="center"/>
          </w:tcPr>
          <w:p>
            <w:pPr>
              <w:jc w:val="left"/>
            </w:pPr>
            <w:r/>
            <w:r>
              <w:rPr>
                <w:rFonts w:ascii="Aptos" w:hAnsi="Aptos"/>
                <w:b w:val="0"/>
                <w:sz w:val="15"/>
              </w:rPr>
              <w:t>Crypto Minimum Variance</w:t>
            </w:r>
          </w:p>
        </w:tc>
        <w:tc>
          <w:tcPr>
            <w:tcW w:type="dxa" w:w="1020"/>
            <w:vAlign w:val="center"/>
          </w:tcPr>
          <w:p>
            <w:pPr>
              <w:jc w:val="left"/>
            </w:pPr>
            <w:r/>
            <w:r>
              <w:rPr>
                <w:rFonts w:ascii="Aptos" w:hAnsi="Aptos"/>
                <w:b w:val="0"/>
                <w:sz w:val="15"/>
              </w:rPr>
              <w:t>Crypto</w:t>
            </w:r>
          </w:p>
        </w:tc>
        <w:tc>
          <w:tcPr>
            <w:tcW w:type="dxa" w:w="1531"/>
            <w:vAlign w:val="center"/>
          </w:tcPr>
          <w:p>
            <w:pPr>
              <w:jc w:val="right"/>
            </w:pPr>
            <w:r/>
            <w:r>
              <w:rPr>
                <w:rFonts w:ascii="Aptos" w:hAnsi="Aptos"/>
                <w:b w:val="0"/>
                <w:sz w:val="15"/>
              </w:rPr>
              <w:t>49.25%</w:t>
            </w:r>
          </w:p>
        </w:tc>
        <w:tc>
          <w:tcPr>
            <w:tcW w:type="dxa" w:w="1417"/>
            <w:vAlign w:val="center"/>
          </w:tcPr>
          <w:p>
            <w:pPr>
              <w:jc w:val="right"/>
            </w:pPr>
            <w:r/>
            <w:r>
              <w:rPr>
                <w:rFonts w:ascii="Aptos" w:hAnsi="Aptos"/>
                <w:b w:val="0"/>
                <w:sz w:val="15"/>
              </w:rPr>
              <w:t>76.12%</w:t>
            </w:r>
          </w:p>
        </w:tc>
        <w:tc>
          <w:tcPr>
            <w:tcW w:type="dxa" w:w="964"/>
            <w:vAlign w:val="center"/>
          </w:tcPr>
          <w:p>
            <w:pPr>
              <w:jc w:val="right"/>
            </w:pPr>
            <w:r/>
            <w:r>
              <w:rPr>
                <w:rFonts w:ascii="Aptos" w:hAnsi="Aptos"/>
                <w:b w:val="0"/>
                <w:sz w:val="15"/>
              </w:rPr>
              <w:t>0.91</w:t>
            </w:r>
          </w:p>
        </w:tc>
        <w:tc>
          <w:tcPr>
            <w:tcW w:type="dxa" w:w="1531"/>
            <w:vAlign w:val="center"/>
          </w:tcPr>
          <w:p>
            <w:pPr>
              <w:jc w:val="right"/>
            </w:pPr>
            <w:r/>
            <w:r>
              <w:rPr>
                <w:rFonts w:ascii="Aptos" w:hAnsi="Aptos"/>
                <w:b w:val="0"/>
                <w:sz w:val="15"/>
              </w:rPr>
              <w:t>-73.55%</w:t>
            </w:r>
          </w:p>
        </w:tc>
      </w:tr>
      <w:tr>
        <w:trPr>
          <w:cantSplit/>
        </w:trPr>
        <w:tc>
          <w:tcPr>
            <w:tcW w:type="dxa" w:w="2835"/>
            <w:vAlign w:val="center"/>
          </w:tcPr>
          <w:p>
            <w:pPr>
              <w:jc w:val="left"/>
            </w:pPr>
            <w:r/>
            <w:r>
              <w:rPr>
                <w:rFonts w:ascii="Aptos" w:hAnsi="Aptos"/>
                <w:b w:val="0"/>
                <w:sz w:val="15"/>
              </w:rPr>
              <w:t>Crypto Risk Parity</w:t>
            </w:r>
          </w:p>
        </w:tc>
        <w:tc>
          <w:tcPr>
            <w:tcW w:type="dxa" w:w="1020"/>
            <w:vAlign w:val="center"/>
          </w:tcPr>
          <w:p>
            <w:pPr>
              <w:jc w:val="left"/>
            </w:pPr>
            <w:r/>
            <w:r>
              <w:rPr>
                <w:rFonts w:ascii="Aptos" w:hAnsi="Aptos"/>
                <w:b w:val="0"/>
                <w:sz w:val="15"/>
              </w:rPr>
              <w:t>Crypto</w:t>
            </w:r>
          </w:p>
        </w:tc>
        <w:tc>
          <w:tcPr>
            <w:tcW w:type="dxa" w:w="1531"/>
            <w:vAlign w:val="center"/>
          </w:tcPr>
          <w:p>
            <w:pPr>
              <w:jc w:val="right"/>
            </w:pPr>
            <w:r/>
            <w:r>
              <w:rPr>
                <w:rFonts w:ascii="Aptos" w:hAnsi="Aptos"/>
                <w:b w:val="0"/>
                <w:sz w:val="15"/>
              </w:rPr>
              <w:t>41.69%</w:t>
            </w:r>
          </w:p>
        </w:tc>
        <w:tc>
          <w:tcPr>
            <w:tcW w:type="dxa" w:w="1417"/>
            <w:vAlign w:val="center"/>
          </w:tcPr>
          <w:p>
            <w:pPr>
              <w:jc w:val="right"/>
            </w:pPr>
            <w:r/>
            <w:r>
              <w:rPr>
                <w:rFonts w:ascii="Aptos" w:hAnsi="Aptos"/>
                <w:b w:val="0"/>
                <w:sz w:val="15"/>
              </w:rPr>
              <w:t>80.26%</w:t>
            </w:r>
          </w:p>
        </w:tc>
        <w:tc>
          <w:tcPr>
            <w:tcW w:type="dxa" w:w="964"/>
            <w:vAlign w:val="center"/>
          </w:tcPr>
          <w:p>
            <w:pPr>
              <w:jc w:val="right"/>
            </w:pPr>
            <w:r/>
            <w:r>
              <w:rPr>
                <w:rFonts w:ascii="Aptos" w:hAnsi="Aptos"/>
                <w:b w:val="0"/>
                <w:sz w:val="15"/>
              </w:rPr>
              <w:t>0.84</w:t>
            </w:r>
          </w:p>
        </w:tc>
        <w:tc>
          <w:tcPr>
            <w:tcW w:type="dxa" w:w="1531"/>
            <w:vAlign w:val="center"/>
          </w:tcPr>
          <w:p>
            <w:pPr>
              <w:jc w:val="right"/>
            </w:pPr>
            <w:r/>
            <w:r>
              <w:rPr>
                <w:rFonts w:ascii="Aptos" w:hAnsi="Aptos"/>
                <w:b w:val="0"/>
                <w:sz w:val="15"/>
              </w:rPr>
              <w:t>-80.49%</w:t>
            </w:r>
          </w:p>
        </w:tc>
      </w:tr>
      <w:tr>
        <w:trPr>
          <w:cantSplit/>
        </w:trPr>
        <w:tc>
          <w:tcPr>
            <w:tcW w:type="dxa" w:w="2835"/>
            <w:vAlign w:val="center"/>
          </w:tcPr>
          <w:p>
            <w:pPr>
              <w:jc w:val="left"/>
            </w:pPr>
            <w:r/>
            <w:r>
              <w:rPr>
                <w:rFonts w:ascii="Aptos" w:hAnsi="Aptos"/>
                <w:b w:val="0"/>
                <w:sz w:val="15"/>
              </w:rPr>
              <w:t>Combined Equal Weight</w:t>
            </w:r>
          </w:p>
        </w:tc>
        <w:tc>
          <w:tcPr>
            <w:tcW w:type="dxa" w:w="1020"/>
            <w:vAlign w:val="center"/>
          </w:tcPr>
          <w:p>
            <w:pPr>
              <w:jc w:val="left"/>
            </w:pPr>
            <w:r/>
            <w:r>
              <w:rPr>
                <w:rFonts w:ascii="Aptos" w:hAnsi="Aptos"/>
                <w:b w:val="0"/>
                <w:sz w:val="15"/>
              </w:rPr>
              <w:t>Combined</w:t>
            </w:r>
          </w:p>
        </w:tc>
        <w:tc>
          <w:tcPr>
            <w:tcW w:type="dxa" w:w="1531"/>
            <w:vAlign w:val="center"/>
          </w:tcPr>
          <w:p>
            <w:pPr>
              <w:jc w:val="right"/>
            </w:pPr>
            <w:r/>
            <w:r>
              <w:rPr>
                <w:rFonts w:ascii="Aptos" w:hAnsi="Aptos"/>
                <w:b w:val="0"/>
                <w:sz w:val="15"/>
              </w:rPr>
              <w:t>15.08%</w:t>
            </w:r>
          </w:p>
        </w:tc>
        <w:tc>
          <w:tcPr>
            <w:tcW w:type="dxa" w:w="1417"/>
            <w:vAlign w:val="center"/>
          </w:tcPr>
          <w:p>
            <w:pPr>
              <w:jc w:val="right"/>
            </w:pPr>
            <w:r/>
            <w:r>
              <w:rPr>
                <w:rFonts w:ascii="Aptos" w:hAnsi="Aptos"/>
                <w:b w:val="0"/>
                <w:sz w:val="15"/>
              </w:rPr>
              <w:t>21.60%</w:t>
            </w:r>
          </w:p>
        </w:tc>
        <w:tc>
          <w:tcPr>
            <w:tcW w:type="dxa" w:w="964"/>
            <w:vAlign w:val="center"/>
          </w:tcPr>
          <w:p>
            <w:pPr>
              <w:jc w:val="right"/>
            </w:pPr>
            <w:r/>
            <w:r>
              <w:rPr>
                <w:rFonts w:ascii="Aptos" w:hAnsi="Aptos"/>
                <w:b w:val="0"/>
                <w:sz w:val="15"/>
              </w:rPr>
              <w:t>0.76</w:t>
            </w:r>
          </w:p>
        </w:tc>
        <w:tc>
          <w:tcPr>
            <w:tcW w:type="dxa" w:w="1531"/>
            <w:vAlign w:val="center"/>
          </w:tcPr>
          <w:p>
            <w:pPr>
              <w:jc w:val="right"/>
            </w:pPr>
            <w:r/>
            <w:r>
              <w:rPr>
                <w:rFonts w:ascii="Aptos" w:hAnsi="Aptos"/>
                <w:b w:val="0"/>
                <w:sz w:val="15"/>
              </w:rPr>
              <w:t>-27.90%</w:t>
            </w:r>
          </w:p>
        </w:tc>
      </w:tr>
      <w:tr>
        <w:trPr>
          <w:cantSplit/>
        </w:trPr>
        <w:tc>
          <w:tcPr>
            <w:tcW w:type="dxa" w:w="2835"/>
            <w:vAlign w:val="center"/>
          </w:tcPr>
          <w:p>
            <w:pPr>
              <w:jc w:val="left"/>
            </w:pPr>
            <w:r/>
            <w:r>
              <w:rPr>
                <w:rFonts w:ascii="Aptos" w:hAnsi="Aptos"/>
                <w:b w:val="0"/>
                <w:sz w:val="15"/>
              </w:rPr>
              <w:t>Combined Minimum Variance</w:t>
            </w:r>
          </w:p>
        </w:tc>
        <w:tc>
          <w:tcPr>
            <w:tcW w:type="dxa" w:w="1020"/>
            <w:vAlign w:val="center"/>
          </w:tcPr>
          <w:p>
            <w:pPr>
              <w:jc w:val="left"/>
            </w:pPr>
            <w:r/>
            <w:r>
              <w:rPr>
                <w:rFonts w:ascii="Aptos" w:hAnsi="Aptos"/>
                <w:b w:val="0"/>
                <w:sz w:val="15"/>
              </w:rPr>
              <w:t>Combined</w:t>
            </w:r>
          </w:p>
        </w:tc>
        <w:tc>
          <w:tcPr>
            <w:tcW w:type="dxa" w:w="1531"/>
            <w:vAlign w:val="center"/>
          </w:tcPr>
          <w:p>
            <w:pPr>
              <w:jc w:val="right"/>
            </w:pPr>
            <w:r/>
            <w:r>
              <w:rPr>
                <w:rFonts w:ascii="Aptos" w:hAnsi="Aptos"/>
                <w:b w:val="0"/>
                <w:sz w:val="15"/>
              </w:rPr>
              <w:t>7.05%</w:t>
            </w:r>
          </w:p>
        </w:tc>
        <w:tc>
          <w:tcPr>
            <w:tcW w:type="dxa" w:w="1417"/>
            <w:vAlign w:val="center"/>
          </w:tcPr>
          <w:p>
            <w:pPr>
              <w:jc w:val="right"/>
            </w:pPr>
            <w:r/>
            <w:r>
              <w:rPr>
                <w:rFonts w:ascii="Aptos" w:hAnsi="Aptos"/>
                <w:b w:val="0"/>
                <w:sz w:val="15"/>
              </w:rPr>
              <w:t>12.72%</w:t>
            </w:r>
          </w:p>
        </w:tc>
        <w:tc>
          <w:tcPr>
            <w:tcW w:type="dxa" w:w="964"/>
            <w:vAlign w:val="center"/>
          </w:tcPr>
          <w:p>
            <w:pPr>
              <w:jc w:val="right"/>
            </w:pPr>
            <w:r/>
            <w:r>
              <w:rPr>
                <w:rFonts w:ascii="Aptos" w:hAnsi="Aptos"/>
                <w:b w:val="0"/>
                <w:sz w:val="15"/>
              </w:rPr>
              <w:t>0.60</w:t>
            </w:r>
          </w:p>
        </w:tc>
        <w:tc>
          <w:tcPr>
            <w:tcW w:type="dxa" w:w="1531"/>
            <w:vAlign w:val="center"/>
          </w:tcPr>
          <w:p>
            <w:pPr>
              <w:jc w:val="right"/>
            </w:pPr>
            <w:r/>
            <w:r>
              <w:rPr>
                <w:rFonts w:ascii="Aptos" w:hAnsi="Aptos"/>
                <w:b w:val="0"/>
                <w:sz w:val="15"/>
              </w:rPr>
              <w:t>-17.84%</w:t>
            </w:r>
          </w:p>
        </w:tc>
      </w:tr>
      <w:tr>
        <w:trPr>
          <w:cantSplit/>
        </w:trPr>
        <w:tc>
          <w:tcPr>
            <w:tcW w:type="dxa" w:w="2835"/>
            <w:vAlign w:val="center"/>
          </w:tcPr>
          <w:p>
            <w:pPr>
              <w:jc w:val="left"/>
            </w:pPr>
            <w:r/>
            <w:r>
              <w:rPr>
                <w:rFonts w:ascii="Aptos" w:hAnsi="Aptos"/>
                <w:b w:val="0"/>
                <w:sz w:val="15"/>
              </w:rPr>
              <w:t>Combined Risk Parity</w:t>
            </w:r>
          </w:p>
        </w:tc>
        <w:tc>
          <w:tcPr>
            <w:tcW w:type="dxa" w:w="1020"/>
            <w:vAlign w:val="center"/>
          </w:tcPr>
          <w:p>
            <w:pPr>
              <w:jc w:val="left"/>
            </w:pPr>
            <w:r/>
            <w:r>
              <w:rPr>
                <w:rFonts w:ascii="Aptos" w:hAnsi="Aptos"/>
                <w:b w:val="0"/>
                <w:sz w:val="15"/>
              </w:rPr>
              <w:t>Combined</w:t>
            </w:r>
          </w:p>
        </w:tc>
        <w:tc>
          <w:tcPr>
            <w:tcW w:type="dxa" w:w="1531"/>
            <w:vAlign w:val="center"/>
          </w:tcPr>
          <w:p>
            <w:pPr>
              <w:jc w:val="right"/>
            </w:pPr>
            <w:r/>
            <w:r>
              <w:rPr>
                <w:rFonts w:ascii="Aptos" w:hAnsi="Aptos"/>
                <w:b w:val="0"/>
                <w:sz w:val="15"/>
              </w:rPr>
              <w:t>12.75%</w:t>
            </w:r>
          </w:p>
        </w:tc>
        <w:tc>
          <w:tcPr>
            <w:tcW w:type="dxa" w:w="1417"/>
            <w:vAlign w:val="center"/>
          </w:tcPr>
          <w:p>
            <w:pPr>
              <w:jc w:val="right"/>
            </w:pPr>
            <w:r/>
            <w:r>
              <w:rPr>
                <w:rFonts w:ascii="Aptos" w:hAnsi="Aptos"/>
                <w:b w:val="0"/>
                <w:sz w:val="15"/>
              </w:rPr>
              <w:t>17.44%</w:t>
            </w:r>
          </w:p>
        </w:tc>
        <w:tc>
          <w:tcPr>
            <w:tcW w:type="dxa" w:w="964"/>
            <w:vAlign w:val="center"/>
          </w:tcPr>
          <w:p>
            <w:pPr>
              <w:jc w:val="right"/>
            </w:pPr>
            <w:r/>
            <w:r>
              <w:rPr>
                <w:rFonts w:ascii="Aptos" w:hAnsi="Aptos"/>
                <w:b w:val="0"/>
                <w:sz w:val="15"/>
              </w:rPr>
              <w:t>0.78</w:t>
            </w:r>
          </w:p>
        </w:tc>
        <w:tc>
          <w:tcPr>
            <w:tcW w:type="dxa" w:w="1531"/>
            <w:vAlign w:val="center"/>
          </w:tcPr>
          <w:p>
            <w:pPr>
              <w:jc w:val="right"/>
            </w:pPr>
            <w:r/>
            <w:r>
              <w:rPr>
                <w:rFonts w:ascii="Aptos" w:hAnsi="Aptos"/>
                <w:b w:val="0"/>
                <w:sz w:val="15"/>
              </w:rPr>
              <w:t>-22.40%</w:t>
            </w:r>
          </w:p>
        </w:tc>
      </w:tr>
    </w:tbl>
    <w:p/>
    <w:p>
      <w:pPr>
        <w:spacing w:after="80"/>
      </w:pPr>
      <w:r>
        <w:rPr>
          <w:i/>
          <w:color w:val="505050"/>
          <w:sz w:val="16"/>
        </w:rPr>
        <w:t>Source: UNSW Business School FINS3645 Project Data Bundle; Signal Mosaic calculations.</w:t>
      </w:r>
    </w:p>
    <w:p>
      <w:pPr>
        <w:keepNext/>
        <w:jc w:val="center"/>
      </w:pPr>
      <w:r>
        <w:drawing>
          <wp:inline xmlns:a="http://schemas.openxmlformats.org/drawingml/2006/main" xmlns:pic="http://schemas.openxmlformats.org/drawingml/2006/picture">
            <wp:extent cx="5715000" cy="3800427"/>
            <wp:docPr id="1" name="Picture 1" descr="Figure 1. Net annualised return and volatility across the eleven funds, 2021-2023."/>
            <wp:cNvGraphicFramePr>
              <a:graphicFrameLocks noChangeAspect="1"/>
            </wp:cNvGraphicFramePr>
            <a:graphic>
              <a:graphicData uri="http://schemas.openxmlformats.org/drawingml/2006/picture">
                <pic:pic>
                  <pic:nvPicPr>
                    <pic:cNvPr id="0" name="fund_risk_return_all_11.png"/>
                    <pic:cNvPicPr/>
                  </pic:nvPicPr>
                  <pic:blipFill>
                    <a:blip r:embed="rId11"/>
                    <a:stretch>
                      <a:fillRect/>
                    </a:stretch>
                  </pic:blipFill>
                  <pic:spPr>
                    <a:xfrm>
                      <a:off x="0" y="0"/>
                      <a:ext cx="5715000" cy="3800427"/>
                    </a:xfrm>
                    <a:prstGeom prst="rect"/>
                  </pic:spPr>
                </pic:pic>
              </a:graphicData>
            </a:graphic>
          </wp:inline>
        </w:drawing>
      </w:r>
    </w:p>
    <w:p>
      <w:pPr>
        <w:pStyle w:val="Caption"/>
        <w:keepNext/>
        <w:jc w:val="center"/>
      </w:pPr>
      <w:r>
        <w:rPr>
          <w:color w:val="142640"/>
          <w:sz w:val="17"/>
        </w:rPr>
        <w:t>Figure 1. Net annualised return and volatility across the eleven funds, 2021-2023.</w:t>
      </w:r>
    </w:p>
    <w:p>
      <w:r>
        <w:t>Crypto funds sit at the high-return, high-risk end of Figure 1. Crypto Minimum Variance has the highest measured net annualised return, 49.25%, and the highest net Sharpe ratio, 0.91. Crypto Risk Parity follows with 41.69% and 0.84, while Crypto Equal Weight records 40.41% and 0.83. These results use 1,095 daily observations and a 365-day annualisation factor.</w:t>
      </w:r>
    </w:p>
    <w:p>
      <w:r>
        <w:t>The crypto result must be read with drawdown evidence. Maximum drawdowns are -73.55% for Crypto Minimum Variance, -80.49% for Crypto Risk Parity, and -81.59% for Crypto Equal Weight. Over this sample, crypto dominates the return ranking but not capital preservation. The result is therefore sensitive to how much drawdown risk an investor is willing to accept.</w:t>
      </w:r>
    </w:p>
    <w:p>
      <w:r>
        <w:t>Across the equity base funds, Equal Weight records a 12.61% net annualised return, 16.12% annualised volatility, 0.82 net Sharpe, and -20.26% maximum drawdown. Equity Risk Parity has lower return at 10.04%, lower volatility at 14.93%, a 0.72 net Sharpe, and -19.41% maximum drawdown. Equity Minimum Variance has the lowest equity volatility at 12.73% and the least negative equity drawdown at -17.84%, but its net annualised return is 7.05% and its net Sharpe is 0.60. This is a sample result, not a proven causal mechanism.</w:t>
      </w:r>
    </w:p>
    <w:p>
      <w:r>
        <w:t>The combined family gives a more balanced picture. Combined Equal Weight has the highest combined-family return at 15.08%, with 21.60% volatility, a 0.76 net Sharpe, and -27.90% maximum drawdown. Combined Minimum Variance has 7.05% return, 12.72% volatility, a 0.60 Sharpe, and -17.84% drawdown. Combined Risk Parity has 12.75% return, 17.44% volatility, a 0.78 Sharpe, and -22.40% drawdown, making it the strongest combined fund by net Sharpe. Figure 2 shows the net growth paths by asset family, while Figure 3 focuses on combined-fund drawdowns.</w:t>
      </w:r>
    </w:p>
    <w:p>
      <w:pPr>
        <w:keepNext/>
        <w:jc w:val="center"/>
      </w:pPr>
      <w:r>
        <w:drawing>
          <wp:inline xmlns:a="http://schemas.openxmlformats.org/drawingml/2006/main" xmlns:pic="http://schemas.openxmlformats.org/drawingml/2006/picture">
            <wp:extent cx="5074920" cy="5638800"/>
            <wp:docPr id="2" name="Picture 2" descr="Figure 2. Net growth of one dollar by asset family and method."/>
            <wp:cNvGraphicFramePr>
              <a:graphicFrameLocks noChangeAspect="1"/>
            </wp:cNvGraphicFramePr>
            <a:graphic>
              <a:graphicData uri="http://schemas.openxmlformats.org/drawingml/2006/picture">
                <pic:pic>
                  <pic:nvPicPr>
                    <pic:cNvPr id="0" name="fund_growth_of_one_by_family.png"/>
                    <pic:cNvPicPr/>
                  </pic:nvPicPr>
                  <pic:blipFill>
                    <a:blip r:embed="rId12"/>
                    <a:stretch>
                      <a:fillRect/>
                    </a:stretch>
                  </pic:blipFill>
                  <pic:spPr>
                    <a:xfrm>
                      <a:off x="0" y="0"/>
                      <a:ext cx="5074920" cy="5638800"/>
                    </a:xfrm>
                    <a:prstGeom prst="rect"/>
                  </pic:spPr>
                </pic:pic>
              </a:graphicData>
            </a:graphic>
          </wp:inline>
        </w:drawing>
      </w:r>
    </w:p>
    <w:p>
      <w:pPr>
        <w:pStyle w:val="Caption"/>
        <w:keepNext/>
        <w:jc w:val="center"/>
      </w:pPr>
      <w:r>
        <w:rPr>
          <w:color w:val="142640"/>
          <w:sz w:val="17"/>
        </w:rPr>
        <w:t>Figure 2. Net growth of one dollar by asset family and method.</w:t>
      </w:r>
    </w:p>
    <w:p>
      <w:pPr>
        <w:keepNext/>
        <w:jc w:val="center"/>
      </w:pPr>
      <w:r>
        <w:drawing>
          <wp:inline xmlns:a="http://schemas.openxmlformats.org/drawingml/2006/main" xmlns:pic="http://schemas.openxmlformats.org/drawingml/2006/picture">
            <wp:extent cx="5715000" cy="3048000"/>
            <wp:docPr id="3" name="Picture 3" descr="Figure 3. Net drawdowns of the combined equity-crypto funds."/>
            <wp:cNvGraphicFramePr>
              <a:graphicFrameLocks noChangeAspect="1"/>
            </wp:cNvGraphicFramePr>
            <a:graphic>
              <a:graphicData uri="http://schemas.openxmlformats.org/drawingml/2006/picture">
                <pic:pic>
                  <pic:nvPicPr>
                    <pic:cNvPr id="0" name="fund_drawdowns_combined.png"/>
                    <pic:cNvPicPr/>
                  </pic:nvPicPr>
                  <pic:blipFill>
                    <a:blip r:embed="rId13"/>
                    <a:stretch>
                      <a:fillRect/>
                    </a:stretch>
                  </pic:blipFill>
                  <pic:spPr>
                    <a:xfrm>
                      <a:off x="0" y="0"/>
                      <a:ext cx="5715000" cy="3048000"/>
                    </a:xfrm>
                    <a:prstGeom prst="rect"/>
                  </pic:spPr>
                </pic:pic>
              </a:graphicData>
            </a:graphic>
          </wp:inline>
        </w:drawing>
      </w:r>
    </w:p>
    <w:p>
      <w:pPr>
        <w:pStyle w:val="Caption"/>
        <w:keepNext/>
        <w:jc w:val="center"/>
      </w:pPr>
      <w:r>
        <w:rPr>
          <w:color w:val="142640"/>
          <w:sz w:val="17"/>
        </w:rPr>
        <w:t>Figure 3. Net drawdowns of the combined equity-crypto funds.</w:t>
      </w:r>
    </w:p>
    <w:p>
      <w:r>
        <w:t>The fund rankings therefore depend on which risk measure is emphasised. A client who only reads the return column would focus on Crypto Minimum Variance, while a client concerned with drawdown would see a much less comfortable result. Within equities, Equal Weight is the cleaner benchmark because it does not add covariance-estimation risk and it keeps each stock at the same strategic weight. In the combined universe, the evidence is more mixed: Equal Weight captures more upside, Minimum Variance cuts risk most visibly, and Risk Parity sits between them with the best combined Sharpe. None of these rankings removes the need to look at turnover, drawdown, and latest backtest target holdings alongside return.</w:t>
      </w:r>
    </w:p>
    <w:p>
      <w:r>
        <w:t>Latest backtest target holdings at the final reported rebalance help explain what each fact sheet represents. Equity Equal Weight holds 50 equities at 2.00% each. Crypto Equal Weight holds 10 cryptocurrencies at 10.00% each. Optimised funds are more concentrated: Equity Minimum Variance has 12 non-zero holdings and a largest weight of 19.82%, Crypto Minimum Variance has 8 and 20.00%, and Combined Minimum Variance has 12 and 19.84%. Combined Minimum Variance's final reported target allocation is 100.00% equity and 0.00% crypto by asset class. That is a final-rebalance observation, not a claim about every rebalance and not an investment recommendation.</w:t>
      </w:r>
    </w:p>
    <w:p>
      <w:r>
        <w:t>Appendix Figure A1 shows how the combined-fund target allocations changed across monthly rebalances. The complete weight history confirms that Combined Minimum Variance kept 0.00% crypto exposure across the combined backtest, Combined Equal Weight kept 16.67% crypto exposure by construction, and Combined Risk Parity held a smaller crypto allocation between 8.38% and 11.83%. The figure is evidence of model exposure through time, not proof that any allocation rule is optimal.</w:t>
      </w:r>
    </w:p>
    <w:p>
      <w:r>
        <w:t>Transaction costs are small in rate terms compared with realised volatility and drawdowns. Total recorded transaction-cost rates range from 0.09% for Equity Risk Parity to 0.24% for Crypto Minimum Variance. Average rebalance turnover ranges from 2.51% for Equity Risk Parity to 6.75% for Crypto Minimum Variance. The sentiment tilts trade more than Equity Equal Weight: average turnover is 4.74% for Coverage-Gated and 5.47% for Naive, compared with 2.65% for Equity Equal Weight.</w:t>
      </w:r>
    </w:p>
    <w:p>
      <w:r>
        <w:t>The fund fact sheets combine growth of one dollar, drawdown, annualised return, annualised volatility, Sharpe ratio, latest backtest target holdings at the final reported rebalance, rebalance assumptions, and transaction-cost assumptions. They make performance, risk, costs, and holdings easier to compare, but they do not provide personal financial advice or decide which fund suits a particular investor.</w:t>
      </w:r>
    </w:p>
    <w:p>
      <w:pPr>
        <w:pStyle w:val="Heading1"/>
      </w:pPr>
      <w:r>
        <w:t>3. Standalone Sector Sentiment Index</w:t>
      </w:r>
    </w:p>
    <w:p>
      <w:r>
        <w:t>The sentiment stage applies plain NLTK VADER 3.10.2 to preserved equity headline text (Hutto and Gilbert, 2014). Each headline is scored on its own. The implementation keeps original casing, punctuation, negation, intensifiers, and word order; it does not lowercase titles, strip punctuation, remove stopwords, or concatenate multiple titles before scoring. Crypto is not scored because the project contains no crypto headline data.</w:t>
      </w:r>
    </w:p>
    <w:p>
      <w:r>
        <w:t>Of the 146,836 deduplicated headline records, 146,830 could be aligned to an available equity trading date and scored. Six end-of-sample records had no later eligible trading date within the sample and were excluded from the aligned sentiment panel. This wording follows the foundation integrity check, which reports six outside-calendar headline rows, and the sentiment scoring function, which drops rows without a mapped trading date before scoring.</w:t>
      </w:r>
    </w:p>
    <w:p>
      <w:r>
        <w:t>Plain VADER classifies 54,980 scored headlines as positive, 72,786 as neutral, and 19,064 as negative using the standard compound-score thresholds. That is 37.44% positive, 49.57% neutral, and 12.98% negative. The exact-zero compound count is 71,720, or 48.85% of scored headlines. I retained plain VADER as the transparent and reproducible baseline rather than changing the model after observing the backtest result. A replacement model should require human-labelled validation and a separate holdout test.</w:t>
      </w:r>
    </w:p>
    <w:p>
      <w:r>
        <w:t>Aggregation happens in two steps. First, headline-level scores are averaged into ticker-day sentiment for each trading date and ticker with at least one headline, creating 37,962 ticker-days. Sector sentiment then equal-weights available ticker-day mean compound scores within each sector. A ticker with 20 headlines still counts as one ticker-day observation, not 20 times the weight of a ticker with one headline.</w:t>
      </w:r>
    </w:p>
    <w:p>
      <w:r>
        <w:t>The sector sentiment artifact uses a complete equity-date-sector grid with 10,060 rows, equal to 1,006 equity trading dates times ten sectors. It contains 9,832 sector-days with news and 228 without news. Missing-news sector-days have raw sentiment left blank rather than filled with zero, so a genuine calculated zero remains distinct from no news. Figure 4 shows the 21-trading-day trailing sector sentiment series.</w:t>
      </w:r>
    </w:p>
    <w:p>
      <w:pPr>
        <w:keepNext/>
        <w:jc w:val="center"/>
      </w:pPr>
      <w:r>
        <w:drawing>
          <wp:inline xmlns:a="http://schemas.openxmlformats.org/drawingml/2006/main" xmlns:pic="http://schemas.openxmlformats.org/drawingml/2006/picture">
            <wp:extent cx="5715000" cy="6234545"/>
            <wp:docPr id="4" name="Picture 4" descr="Figure 4. Twenty-one-trading-day trailing plain-VADER sentiment across the ten equity sectors."/>
            <wp:cNvGraphicFramePr>
              <a:graphicFrameLocks noChangeAspect="1"/>
            </wp:cNvGraphicFramePr>
            <a:graphic>
              <a:graphicData uri="http://schemas.openxmlformats.org/drawingml/2006/picture">
                <pic:pic>
                  <pic:nvPicPr>
                    <pic:cNvPr id="0" name="sector_sentiment_timeseries.png"/>
                    <pic:cNvPicPr/>
                  </pic:nvPicPr>
                  <pic:blipFill>
                    <a:blip r:embed="rId14"/>
                    <a:stretch>
                      <a:fillRect/>
                    </a:stretch>
                  </pic:blipFill>
                  <pic:spPr>
                    <a:xfrm>
                      <a:off x="0" y="0"/>
                      <a:ext cx="5715000" cy="6234545"/>
                    </a:xfrm>
                    <a:prstGeom prst="rect"/>
                  </pic:spPr>
                </pic:pic>
              </a:graphicData>
            </a:graphic>
          </wp:inline>
        </w:drawing>
      </w:r>
    </w:p>
    <w:p>
      <w:pPr>
        <w:pStyle w:val="Caption"/>
        <w:keepNext/>
        <w:jc w:val="center"/>
      </w:pPr>
      <w:r>
        <w:rPr>
          <w:color w:val="142640"/>
          <w:sz w:val="17"/>
        </w:rPr>
        <w:t>Figure 4. Twenty-one-trading-day trailing plain-VADER sentiment across the ten equity sectors.</w:t>
      </w:r>
    </w:p>
    <w:p>
      <w:r>
        <w:t>The timing rule is strict. A raw sector score belongs to the trading day to which headlines are aligned, but it cannot affect that same day's position. If Saturday and Monday headlines both map to Monday, both enter Monday's raw sector index and first become available for Tuesday. This is why the fusion stage uses the one-trading-day-lagged, 21-day trailing sector sentiment measure.</w:t>
      </w:r>
    </w:p>
    <w:p>
      <w:pPr>
        <w:pStyle w:val="Heading1"/>
      </w:pPr>
      <w:r>
        <w:t>4. Innovation: Coverage-Gated Sentiment Fusion</w:t>
      </w:r>
    </w:p>
    <w:p>
      <w:r>
        <w:t>The Signal Mosaic innovation is a coverage-aware sentiment overlay for equity sectors. I retain Equal Weight as the comparison benchmark because it gives each of the ten sectors a 10% strategic weight and each stock within a sector an equal share. This provides the clearest test of the sentiment overlay itself, separate from optimiser-specific sector allocation.</w:t>
      </w:r>
    </w:p>
    <w:p>
      <w:r>
        <w:t>Coverage Lens describes the evidence structure underneath a sector sentiment reading. Coverage share is the fraction of the five sector stocks with headline coverage. Breadth is one divided by five times the sum of squared ticker headline shares within a sector. Breadth near one means headlines are spread more evenly across the five stocks; breadth near 0.2 means one ticker dominates that sector's news coverage. Figure 5 displays sentiment with this coverage context.</w:t>
      </w:r>
    </w:p>
    <w:p>
      <w:pPr>
        <w:keepNext/>
        <w:jc w:val="center"/>
      </w:pPr>
      <w:r>
        <w:drawing>
          <wp:inline xmlns:a="http://schemas.openxmlformats.org/drawingml/2006/main" xmlns:pic="http://schemas.openxmlformats.org/drawingml/2006/picture">
            <wp:extent cx="5715000" cy="3238500"/>
            <wp:docPr id="5" name="Picture 5" descr="Figure 5. Sector sentiment displayed with Coverage Lens context."/>
            <wp:cNvGraphicFramePr>
              <a:graphicFrameLocks noChangeAspect="1"/>
            </wp:cNvGraphicFramePr>
            <a:graphic>
              <a:graphicData uri="http://schemas.openxmlformats.org/drawingml/2006/picture">
                <pic:pic>
                  <pic:nvPicPr>
                    <pic:cNvPr id="0" name="sentiment_coverage_context.png"/>
                    <pic:cNvPicPr/>
                  </pic:nvPicPr>
                  <pic:blipFill>
                    <a:blip r:embed="rId15"/>
                    <a:stretch>
                      <a:fillRect/>
                    </a:stretch>
                  </pic:blipFill>
                  <pic:spPr>
                    <a:xfrm>
                      <a:off x="0" y="0"/>
                      <a:ext cx="5715000" cy="3238500"/>
                    </a:xfrm>
                    <a:prstGeom prst="rect"/>
                  </pic:spPr>
                </pic:pic>
              </a:graphicData>
            </a:graphic>
          </wp:inline>
        </w:drawing>
      </w:r>
    </w:p>
    <w:p>
      <w:pPr>
        <w:pStyle w:val="Caption"/>
        <w:keepNext/>
        <w:jc w:val="center"/>
      </w:pPr>
      <w:r>
        <w:rPr>
          <w:color w:val="142640"/>
          <w:sz w:val="17"/>
        </w:rPr>
        <w:t>Figure 5. Sector sentiment displayed with Coverage Lens context.</w:t>
      </w:r>
    </w:p>
    <w:p>
      <w:r>
        <w:t>Coverage quality is lagged 21-day coverage share multiplied by lagged 21-day breadth. It is not sentiment, and it does not verify whether news is true or predictive. I interpret Coverage Lens mainly as a control on signal confidence and as a disclosure mechanism. Two sectors may have similar sentiment scores but very different evidence breadth.</w:t>
      </w:r>
    </w:p>
    <w:p>
      <w:r>
        <w:t>At each monthly equity rebalance, the fusion stage uses the one-trading-day-lagged, 21-day trailing sector sentiment measure. It standardises sector sentiment across available sectors on that date, clips the z-score to -2 to +2, and applies a fixed alpha of 0.15. If fewer than two sector signals are available, or if cross-sectional variance is zero, the policy applies no active tilt. Missing sector signals are not converted into sentiment zero, and no parameter is retuned after observing the result.</w:t>
      </w:r>
    </w:p>
    <w:p>
      <w:r>
        <w:t>The Naive Sentiment Tilt uses one plus 0.15 times the sector z-score. The Coverage-Gated Sentiment Tilt uses one plus 0.15 times coverage quality times the sector z-score. Coverage inputs are shifted one full equity trading day before use, so coverage attenuates the active view rather than acting as a sentiment score.</w:t>
      </w:r>
    </w:p>
    <w:p>
      <w:r>
        <w:t>The fusion diagnostics contain 360 rebalance-sector observations: 36 monthly rebalances across ten sectors. All 360 have valid sentiment observations. Mean coverage quality is 0.7953, with a minimum of 0.4396 and a maximum of 0.9934. The gate reduces the absolute active tilt in 93.61% of observations. Maximum sector weights are 13.14% for Naive and 12.75% for Coverage-Gated; minimum weights are 6.99% and 7.35%.</w:t>
      </w:r>
    </w:p>
    <w:p>
      <w:r>
        <w:t>Table 3 and Figure 6 show the before-versus-after result. Equity Equal Weight remains strongest among the three comparison funds, with a 12.61% net annualised return, 16.12% net volatility, a 0.82 net Sharpe, -20.26% maximum drawdown, and 42.59% cumulative net return. Equity Naive Sentiment Tilt has 11.65%, 15.97%, 0.77, -20.13%, and 39.00%. Equity Coverage-Gated Sentiment Tilt has 11.91%, 16.00%, 0.78, -20.14%, and 39.98%.</w:t>
      </w:r>
    </w:p>
    <w:p>
      <w:pPr>
        <w:pStyle w:val="Caption"/>
        <w:keepNext/>
        <w:jc w:val="center"/>
      </w:pPr>
      <w:r>
        <w:rPr>
          <w:color w:val="142640"/>
          <w:sz w:val="17"/>
        </w:rPr>
        <w:t>Table 3. Equity Equal Weight versus the two sentiment-overlay funds.</w:t>
      </w:r>
    </w:p>
    <w:tbl>
      <w:tblPr>
        <w:tblStyle w:val="TableGrid"/>
        <w:tblW w:type="dxa" w:w="9637"/>
        <w:jc w:val="center"/>
        <w:tblLayout w:type="fixed"/>
        <w:tblLook w:firstColumn="1" w:firstRow="1" w:lastColumn="0" w:lastRow="0" w:noHBand="0" w:noVBand="1" w:val="04A0"/>
      </w:tblPr>
      <w:tblGrid>
        <w:gridCol w:w="3175"/>
        <w:gridCol w:w="1417"/>
        <w:gridCol w:w="1360"/>
        <w:gridCol w:w="907"/>
        <w:gridCol w:w="1304"/>
        <w:gridCol w:w="1474"/>
      </w:tblGrid>
      <w:tr>
        <w:trPr>
          <w:tblHeader/>
          <w:cantSplit/>
        </w:trPr>
        <w:tc>
          <w:tcPr>
            <w:tcW w:type="dxa" w:w="3175"/>
            <w:vAlign w:val="center"/>
            <w:shd w:fill="F2F4F5"/>
          </w:tcPr>
          <w:p>
            <w:pPr>
              <w:jc w:val="left"/>
            </w:pPr>
            <w:r/>
            <w:r>
              <w:rPr>
                <w:rFonts w:ascii="Aptos" w:hAnsi="Aptos"/>
                <w:b/>
                <w:sz w:val="15"/>
              </w:rPr>
              <w:t>Fund</w:t>
            </w:r>
          </w:p>
        </w:tc>
        <w:tc>
          <w:tcPr>
            <w:tcW w:type="dxa" w:w="1417"/>
            <w:vAlign w:val="center"/>
            <w:shd w:fill="F2F4F5"/>
          </w:tcPr>
          <w:p>
            <w:pPr>
              <w:jc w:val="left"/>
            </w:pPr>
            <w:r/>
            <w:r>
              <w:rPr>
                <w:rFonts w:ascii="Aptos" w:hAnsi="Aptos"/>
                <w:b/>
                <w:sz w:val="15"/>
              </w:rPr>
              <w:t>Net annualised return</w:t>
            </w:r>
          </w:p>
        </w:tc>
        <w:tc>
          <w:tcPr>
            <w:tcW w:type="dxa" w:w="1361"/>
            <w:vAlign w:val="center"/>
            <w:shd w:fill="F2F4F5"/>
          </w:tcPr>
          <w:p>
            <w:pPr>
              <w:jc w:val="left"/>
            </w:pPr>
            <w:r/>
            <w:r>
              <w:rPr>
                <w:rFonts w:ascii="Aptos" w:hAnsi="Aptos"/>
                <w:b/>
                <w:sz w:val="15"/>
              </w:rPr>
              <w:t>Net volatility</w:t>
            </w:r>
          </w:p>
        </w:tc>
        <w:tc>
          <w:tcPr>
            <w:tcW w:type="dxa" w:w="907"/>
            <w:vAlign w:val="center"/>
            <w:shd w:fill="F2F4F5"/>
          </w:tcPr>
          <w:p>
            <w:pPr>
              <w:jc w:val="left"/>
            </w:pPr>
            <w:r/>
            <w:r>
              <w:rPr>
                <w:rFonts w:ascii="Aptos" w:hAnsi="Aptos"/>
                <w:b/>
                <w:sz w:val="15"/>
              </w:rPr>
              <w:t>Net Sharpe</w:t>
            </w:r>
          </w:p>
        </w:tc>
        <w:tc>
          <w:tcPr>
            <w:tcW w:type="dxa" w:w="1304"/>
            <w:vAlign w:val="center"/>
            <w:shd w:fill="F2F4F5"/>
          </w:tcPr>
          <w:p>
            <w:pPr>
              <w:jc w:val="left"/>
            </w:pPr>
            <w:r/>
            <w:r>
              <w:rPr>
                <w:rFonts w:ascii="Aptos" w:hAnsi="Aptos"/>
                <w:b/>
                <w:sz w:val="15"/>
              </w:rPr>
              <w:t>Maximum drawdown</w:t>
            </w:r>
          </w:p>
        </w:tc>
        <w:tc>
          <w:tcPr>
            <w:tcW w:type="dxa" w:w="1474"/>
            <w:vAlign w:val="center"/>
            <w:shd w:fill="F2F4F5"/>
          </w:tcPr>
          <w:p>
            <w:pPr>
              <w:jc w:val="left"/>
            </w:pPr>
            <w:r/>
            <w:r>
              <w:rPr>
                <w:rFonts w:ascii="Aptos" w:hAnsi="Aptos"/>
                <w:b/>
                <w:sz w:val="15"/>
              </w:rPr>
              <w:t>Average rebalance turnover</w:t>
            </w:r>
          </w:p>
        </w:tc>
      </w:tr>
      <w:tr>
        <w:trPr>
          <w:cantSplit/>
        </w:trPr>
        <w:tc>
          <w:tcPr>
            <w:tcW w:type="dxa" w:w="3175"/>
            <w:vAlign w:val="center"/>
          </w:tcPr>
          <w:p>
            <w:pPr>
              <w:jc w:val="left"/>
            </w:pPr>
            <w:r/>
            <w:r>
              <w:rPr>
                <w:rFonts w:ascii="Aptos" w:hAnsi="Aptos"/>
                <w:b w:val="0"/>
                <w:sz w:val="15"/>
              </w:rPr>
              <w:t>Equity Equal Weight</w:t>
            </w:r>
          </w:p>
        </w:tc>
        <w:tc>
          <w:tcPr>
            <w:tcW w:type="dxa" w:w="1417"/>
            <w:vAlign w:val="center"/>
          </w:tcPr>
          <w:p>
            <w:pPr>
              <w:jc w:val="left"/>
            </w:pPr>
            <w:r/>
            <w:r>
              <w:rPr>
                <w:rFonts w:ascii="Aptos" w:hAnsi="Aptos"/>
                <w:b w:val="0"/>
                <w:sz w:val="15"/>
              </w:rPr>
              <w:t>12.61%</w:t>
            </w:r>
          </w:p>
        </w:tc>
        <w:tc>
          <w:tcPr>
            <w:tcW w:type="dxa" w:w="1361"/>
            <w:vAlign w:val="center"/>
          </w:tcPr>
          <w:p>
            <w:pPr>
              <w:jc w:val="right"/>
            </w:pPr>
            <w:r/>
            <w:r>
              <w:rPr>
                <w:rFonts w:ascii="Aptos" w:hAnsi="Aptos"/>
                <w:b w:val="0"/>
                <w:sz w:val="15"/>
              </w:rPr>
              <w:t>16.12%</w:t>
            </w:r>
          </w:p>
        </w:tc>
        <w:tc>
          <w:tcPr>
            <w:tcW w:type="dxa" w:w="907"/>
            <w:vAlign w:val="center"/>
          </w:tcPr>
          <w:p>
            <w:pPr>
              <w:jc w:val="right"/>
            </w:pPr>
            <w:r/>
            <w:r>
              <w:rPr>
                <w:rFonts w:ascii="Aptos" w:hAnsi="Aptos"/>
                <w:b w:val="0"/>
                <w:sz w:val="15"/>
              </w:rPr>
              <w:t>0.82</w:t>
            </w:r>
          </w:p>
        </w:tc>
        <w:tc>
          <w:tcPr>
            <w:tcW w:type="dxa" w:w="1304"/>
            <w:vAlign w:val="center"/>
          </w:tcPr>
          <w:p>
            <w:pPr>
              <w:jc w:val="right"/>
            </w:pPr>
            <w:r/>
            <w:r>
              <w:rPr>
                <w:rFonts w:ascii="Aptos" w:hAnsi="Aptos"/>
                <w:b w:val="0"/>
                <w:sz w:val="15"/>
              </w:rPr>
              <w:t>-20.26%</w:t>
            </w:r>
          </w:p>
        </w:tc>
        <w:tc>
          <w:tcPr>
            <w:tcW w:type="dxa" w:w="1474"/>
            <w:vAlign w:val="center"/>
          </w:tcPr>
          <w:p>
            <w:pPr>
              <w:jc w:val="right"/>
            </w:pPr>
            <w:r/>
            <w:r>
              <w:rPr>
                <w:rFonts w:ascii="Aptos" w:hAnsi="Aptos"/>
                <w:b w:val="0"/>
                <w:sz w:val="15"/>
              </w:rPr>
              <w:t>2.65%</w:t>
            </w:r>
          </w:p>
        </w:tc>
      </w:tr>
      <w:tr>
        <w:trPr>
          <w:cantSplit/>
        </w:trPr>
        <w:tc>
          <w:tcPr>
            <w:tcW w:type="dxa" w:w="3175"/>
            <w:vAlign w:val="center"/>
          </w:tcPr>
          <w:p>
            <w:pPr>
              <w:jc w:val="left"/>
            </w:pPr>
            <w:r/>
            <w:r>
              <w:rPr>
                <w:rFonts w:ascii="Aptos" w:hAnsi="Aptos"/>
                <w:b w:val="0"/>
                <w:sz w:val="15"/>
              </w:rPr>
              <w:t>Equity Naive Sentiment Tilt</w:t>
            </w:r>
          </w:p>
        </w:tc>
        <w:tc>
          <w:tcPr>
            <w:tcW w:type="dxa" w:w="1417"/>
            <w:vAlign w:val="center"/>
          </w:tcPr>
          <w:p>
            <w:pPr>
              <w:jc w:val="left"/>
            </w:pPr>
            <w:r/>
            <w:r>
              <w:rPr>
                <w:rFonts w:ascii="Aptos" w:hAnsi="Aptos"/>
                <w:b w:val="0"/>
                <w:sz w:val="15"/>
              </w:rPr>
              <w:t>11.65%</w:t>
            </w:r>
          </w:p>
        </w:tc>
        <w:tc>
          <w:tcPr>
            <w:tcW w:type="dxa" w:w="1361"/>
            <w:vAlign w:val="center"/>
          </w:tcPr>
          <w:p>
            <w:pPr>
              <w:jc w:val="right"/>
            </w:pPr>
            <w:r/>
            <w:r>
              <w:rPr>
                <w:rFonts w:ascii="Aptos" w:hAnsi="Aptos"/>
                <w:b w:val="0"/>
                <w:sz w:val="15"/>
              </w:rPr>
              <w:t>15.97%</w:t>
            </w:r>
          </w:p>
        </w:tc>
        <w:tc>
          <w:tcPr>
            <w:tcW w:type="dxa" w:w="907"/>
            <w:vAlign w:val="center"/>
          </w:tcPr>
          <w:p>
            <w:pPr>
              <w:jc w:val="right"/>
            </w:pPr>
            <w:r/>
            <w:r>
              <w:rPr>
                <w:rFonts w:ascii="Aptos" w:hAnsi="Aptos"/>
                <w:b w:val="0"/>
                <w:sz w:val="15"/>
              </w:rPr>
              <w:t>0.77</w:t>
            </w:r>
          </w:p>
        </w:tc>
        <w:tc>
          <w:tcPr>
            <w:tcW w:type="dxa" w:w="1304"/>
            <w:vAlign w:val="center"/>
          </w:tcPr>
          <w:p>
            <w:pPr>
              <w:jc w:val="right"/>
            </w:pPr>
            <w:r/>
            <w:r>
              <w:rPr>
                <w:rFonts w:ascii="Aptos" w:hAnsi="Aptos"/>
                <w:b w:val="0"/>
                <w:sz w:val="15"/>
              </w:rPr>
              <w:t>-20.13%</w:t>
            </w:r>
          </w:p>
        </w:tc>
        <w:tc>
          <w:tcPr>
            <w:tcW w:type="dxa" w:w="1474"/>
            <w:vAlign w:val="center"/>
          </w:tcPr>
          <w:p>
            <w:pPr>
              <w:jc w:val="right"/>
            </w:pPr>
            <w:r/>
            <w:r>
              <w:rPr>
                <w:rFonts w:ascii="Aptos" w:hAnsi="Aptos"/>
                <w:b w:val="0"/>
                <w:sz w:val="15"/>
              </w:rPr>
              <w:t>5.47%</w:t>
            </w:r>
          </w:p>
        </w:tc>
      </w:tr>
      <w:tr>
        <w:trPr>
          <w:cantSplit/>
        </w:trPr>
        <w:tc>
          <w:tcPr>
            <w:tcW w:type="dxa" w:w="3175"/>
            <w:vAlign w:val="center"/>
          </w:tcPr>
          <w:p>
            <w:pPr>
              <w:jc w:val="left"/>
            </w:pPr>
            <w:r/>
            <w:r>
              <w:rPr>
                <w:rFonts w:ascii="Aptos" w:hAnsi="Aptos"/>
                <w:b w:val="0"/>
                <w:sz w:val="15"/>
              </w:rPr>
              <w:t>Equity Coverage-Gated Sentiment Tilt</w:t>
            </w:r>
          </w:p>
        </w:tc>
        <w:tc>
          <w:tcPr>
            <w:tcW w:type="dxa" w:w="1417"/>
            <w:vAlign w:val="center"/>
          </w:tcPr>
          <w:p>
            <w:pPr>
              <w:jc w:val="left"/>
            </w:pPr>
            <w:r/>
            <w:r>
              <w:rPr>
                <w:rFonts w:ascii="Aptos" w:hAnsi="Aptos"/>
                <w:b w:val="0"/>
                <w:sz w:val="15"/>
              </w:rPr>
              <w:t>11.91%</w:t>
            </w:r>
          </w:p>
        </w:tc>
        <w:tc>
          <w:tcPr>
            <w:tcW w:type="dxa" w:w="1361"/>
            <w:vAlign w:val="center"/>
          </w:tcPr>
          <w:p>
            <w:pPr>
              <w:jc w:val="right"/>
            </w:pPr>
            <w:r/>
            <w:r>
              <w:rPr>
                <w:rFonts w:ascii="Aptos" w:hAnsi="Aptos"/>
                <w:b w:val="0"/>
                <w:sz w:val="15"/>
              </w:rPr>
              <w:t>16.00%</w:t>
            </w:r>
          </w:p>
        </w:tc>
        <w:tc>
          <w:tcPr>
            <w:tcW w:type="dxa" w:w="907"/>
            <w:vAlign w:val="center"/>
          </w:tcPr>
          <w:p>
            <w:pPr>
              <w:jc w:val="right"/>
            </w:pPr>
            <w:r/>
            <w:r>
              <w:rPr>
                <w:rFonts w:ascii="Aptos" w:hAnsi="Aptos"/>
                <w:b w:val="0"/>
                <w:sz w:val="15"/>
              </w:rPr>
              <w:t>0.78</w:t>
            </w:r>
          </w:p>
        </w:tc>
        <w:tc>
          <w:tcPr>
            <w:tcW w:type="dxa" w:w="1304"/>
            <w:vAlign w:val="center"/>
          </w:tcPr>
          <w:p>
            <w:pPr>
              <w:jc w:val="right"/>
            </w:pPr>
            <w:r/>
            <w:r>
              <w:rPr>
                <w:rFonts w:ascii="Aptos" w:hAnsi="Aptos"/>
                <w:b w:val="0"/>
                <w:sz w:val="15"/>
              </w:rPr>
              <w:t>-20.14%</w:t>
            </w:r>
          </w:p>
        </w:tc>
        <w:tc>
          <w:tcPr>
            <w:tcW w:type="dxa" w:w="1474"/>
            <w:vAlign w:val="center"/>
          </w:tcPr>
          <w:p>
            <w:pPr>
              <w:jc w:val="right"/>
            </w:pPr>
            <w:r/>
            <w:r>
              <w:rPr>
                <w:rFonts w:ascii="Aptos" w:hAnsi="Aptos"/>
                <w:b w:val="0"/>
                <w:sz w:val="15"/>
              </w:rPr>
              <w:t>4.74%</w:t>
            </w:r>
          </w:p>
        </w:tc>
      </w:tr>
    </w:tbl>
    <w:p/>
    <w:p>
      <w:pPr>
        <w:spacing w:after="80"/>
      </w:pPr>
      <w:r>
        <w:rPr>
          <w:i/>
          <w:color w:val="505050"/>
          <w:sz w:val="16"/>
        </w:rPr>
        <w:t>Source: UNSW Business School FINS3645 Project Data Bundle; Signal Mosaic calculations using plain VADER.</w:t>
      </w:r>
    </w:p>
    <w:p>
      <w:pPr>
        <w:keepNext/>
        <w:jc w:val="center"/>
      </w:pPr>
      <w:r>
        <w:drawing>
          <wp:inline xmlns:a="http://schemas.openxmlformats.org/drawingml/2006/main" xmlns:pic="http://schemas.openxmlformats.org/drawingml/2006/picture">
            <wp:extent cx="5715000" cy="3302000"/>
            <wp:docPr id="6" name="Picture 6" descr="Figure 6. Net growth of one dollar for Equity Equal Weight and the two sentiment overlays."/>
            <wp:cNvGraphicFramePr>
              <a:graphicFrameLocks noChangeAspect="1"/>
            </wp:cNvGraphicFramePr>
            <a:graphic>
              <a:graphicData uri="http://schemas.openxmlformats.org/drawingml/2006/picture">
                <pic:pic>
                  <pic:nvPicPr>
                    <pic:cNvPr id="0" name="fusion_growth_of_one.png"/>
                    <pic:cNvPicPr/>
                  </pic:nvPicPr>
                  <pic:blipFill>
                    <a:blip r:embed="rId16"/>
                    <a:stretch>
                      <a:fillRect/>
                    </a:stretch>
                  </pic:blipFill>
                  <pic:spPr>
                    <a:xfrm>
                      <a:off x="0" y="0"/>
                      <a:ext cx="5715000" cy="3302000"/>
                    </a:xfrm>
                    <a:prstGeom prst="rect"/>
                  </pic:spPr>
                </pic:pic>
              </a:graphicData>
            </a:graphic>
          </wp:inline>
        </w:drawing>
      </w:r>
    </w:p>
    <w:p>
      <w:pPr>
        <w:pStyle w:val="Caption"/>
        <w:keepNext/>
        <w:jc w:val="center"/>
      </w:pPr>
      <w:r>
        <w:rPr>
          <w:color w:val="142640"/>
          <w:sz w:val="17"/>
        </w:rPr>
        <w:t>Figure 6. Net growth of one dollar for Equity Equal Weight and the two sentiment overlays.</w:t>
      </w:r>
    </w:p>
    <w:p>
      <w:r>
        <w:t>The measured fusion result is negative relative to Equity Equal Weight. Both sentiment tilts reduce net annualised return and net Sharpe. Coverage-Gated does better than Naive by losing less return and Sharpe, which supports the narrower conclusion that coverage attenuation reduced part of the weak signal's damage. It still does not create positive predictive value. I do not treat the negative fusion result as evidence that sentiment can never work; it only shows that this plain-VADER, fixed-alpha, fixed-sample design did not produce a positive predictive relationship.</w:t>
      </w:r>
    </w:p>
    <w:p>
      <w:r>
        <w:t>The predictive diagnostics are consistent with that interpretation. Monthly sector sentiment z-scores are compared with next-rebalance-period sector returns. The pooled Spearman correlation is -0.0705 for all valid observations, -0.0398 above median coverage quality, and -0.0992 at or below median coverage quality. No formal significance claim is made.</w:t>
      </w:r>
    </w:p>
    <w:p>
      <w:pPr>
        <w:pStyle w:val="Heading1"/>
      </w:pPr>
      <w:r>
        <w:t>5. Signal Mosaic App and Investor Journey</w:t>
      </w:r>
    </w:p>
    <w:p>
      <w:r>
        <w:t>The Streamlit app is a presentation and interaction layer over precomputed artifacts. Its six sections are Overview, Compare Funds, Fund Fact Sheet, Allocation Studio, Sentiment &amp; Coverage, and Methodology &amp; Limitations. It reads committed CSV artifacts from the results folder, validates schemas, caches CSV loading, and uses project-relative paths. It does not rerun the analytical pipeline.</w:t>
      </w:r>
    </w:p>
    <w:p>
      <w:r>
        <w:t>The Overview page reports the fund count, sector count, out-of-sample window, validation count, fund shelf, and evidence highlights. Compare Funds lets a user filter, select two to six funds, compare net metrics, view growth of one dollar, risk-return position, Sharpe, and drawdown, and download the comparison table. Fund Fact Sheet shows performance cards, growth, drawdown, latest backtest target holdings at the final reported rebalance, method summary, and downloads.</w:t>
      </w:r>
    </w:p>
    <w:p>
      <w:r>
        <w:t>Allocation Studio is an illustrative fund-of-funds view, not a twelfth managed fund. The user selects two to five precomputed funds and enters weights. The app normalises non-zero weights to 100%, compounds each selected fund's daily net returns within each calendar month, aligns funds on their shared monthly sample, and calculates a monthly rebalanced allocation. Metrics use 12 periods per year and no extra allocation-level transaction cost. This monthly design avoids pretending that equity-calendar and crypto-calendar daily returns line up perfectly.</w:t>
      </w:r>
    </w:p>
    <w:p>
      <w:r>
        <w:t>The Sentiment &amp; Coverage page lets users choose sectors, date ranges, and sentiment views. It shows VADER compound sentiment with a zero reference, then displays article count, covered tickers, coverage share, and breadth separately. It also reports the plain-VADER neutral share and the fusion result. Methodology &amp; Limitations explains the Data Factory Floor, fund design, sentiment design, Coverage-Gated innovation, and pipeline status.</w:t>
      </w:r>
    </w:p>
    <w:p>
      <w:r>
        <w:t>The deployment architecture is intentionally light. The app does not load raw data, call the data-access helper, run build scripts, execute the pipeline, import NLTK, initialise VADER, optimise portfolios, rebuild sentiment or fusion, write analytical files, or depend on Project A. Pipeline validation reports 81 PASS rows, and the app artifact inventory reports nine ready app-facing artifacts. Signal Mosaic keeps fund performance, holdings, sentiment, coverage, methodology, and limitations visible in one journey, but it remains an educational prototype rather than financial advice.</w:t>
      </w:r>
    </w:p>
    <w:p>
      <w:pPr>
        <w:pStyle w:val="Heading1"/>
      </w:pPr>
      <w:r>
        <w:t>6. Critical Reflection and Three Recommendations</w:t>
      </w:r>
    </w:p>
    <w:p>
      <w:r>
        <w:t>The test window is short. Equity and combined funds have 753 out-of-sample observations from 2021-01-04 to 2023-12-29, while crypto-only funds have 1,095 observations from 2021-01-01 to 2023-12-31. The project measures one historical period, not a stable long-run distribution. The universe is also limited to 50 large US equities and 10 cryptocurrencies, with no external validation dataset in the local project.</w:t>
      </w:r>
    </w:p>
    <w:p>
      <w:r>
        <w:t>The sentiment evidence is narrower than the fund evidence. It uses headlines only, not full article text, and applies only to equities because there is no crypto headline dataset. Plain VADER is transparent and reproducible, but it leaves 49.57% of scored headlines neutral and 48.85% as exact-zero compound scores. That creates false-neutral risk for finance headlines.</w:t>
      </w:r>
    </w:p>
    <w:p>
      <w:r>
        <w:t>Portfolio implementation is simplified. The transaction-cost model charges 10 basis points per dollar of one-way turnover, excludes initial establishment cost, and does not model taxes, market impact, custody, management fees, borrow costs, liquidity constraints, or trade-size effects. These omissions matter if the prototype is read as a real investment product rather than a coursework simulation.</w:t>
      </w:r>
    </w:p>
    <w:p>
      <w:r>
        <w:t>Calendar choices also matter. Combined funds exclude weekend-only crypto returns because they use the equity calendar, while crypto-only funds keep the seven-day calendar. This is internally consistent, but the combined fund is not the same as a continuously traded crypto allocation. Allocation Studio handles mixed calendars with common monthly returns rather than artificial daily alignment.</w:t>
      </w:r>
    </w:p>
    <w:p>
      <w:r>
        <w:t>Coverage Lens should be treated as evidence structure, not truth. It measures whether headlines are broad or concentrated across the sector, but it does not verify news, measure article quality, or prove predictability. Since fusion diagnostics are negative in this sample, coverage is better framed as signal-risk control and disclosure.</w:t>
      </w:r>
    </w:p>
    <w:p>
      <w:r>
        <w:t>Recommendation 1 is to extend evaluation before commercial use. The next version should test a longer out-of-sample history, additional market regimes, multiple-origin or rolling validation, stress periods, frozen parameters, transaction-cost sensitivity, and separate checks of crypto-calendar assumptions. This follows directly from the short 2021-2023 window and the severe crypto drawdowns.</w:t>
      </w:r>
    </w:p>
    <w:p>
      <w:r>
        <w:t>Recommendation 2 is to improve sentiment only through validated model comparison. Plain VADER should remain the transparent baseline. A finance lexicon or finance-specific model should be compared against a manually labelled representative finance-headline sample and a separate holdout period. The comparison should measure positive, negative, and neutral classification quality. A new model should not be selected merely because it raises backtest return.</w:t>
      </w:r>
    </w:p>
    <w:p>
      <w:r>
        <w:t>Recommendation 3 is to use Coverage Lens mainly as signal-risk control and disclosure. The app should show coverage beside sentiment, preserve missing-news warnings, and attenuate active tilts when evidence is narrow. Equal Weight should remain the transparent default until a sentiment overlay produces positive and stable out-of-sample evidence. Coverage should not be marketed as predictive proof.</w:t>
      </w:r>
    </w:p>
    <w:p>
      <w:pPr>
        <w:pStyle w:val="Heading1"/>
      </w:pPr>
      <w:r>
        <w:t>7. Conclusion</w:t>
      </w:r>
    </w:p>
    <w:p>
      <w:r>
        <w:t>Signal Mosaic builds the required Part B analytical product: eleven out-of-sample funds, validated fund fact sheets, a standalone equity-sector sentiment index, a look-ahead-safe sentiment fusion extension, and a Streamlit app that loads precomputed artifacts. The pipeline validation table reports 81 PASS rows, and the app artifact inventory reports nine ready app-facing artifacts.</w:t>
      </w:r>
    </w:p>
    <w:p>
      <w:r>
        <w:t>The fund evidence is mixed. Crypto Minimum Variance leads return and Sharpe rankings but has a large drawdown. Combined Risk Parity is the strongest combined fund by Sharpe. Equity Equal Weight remains stronger than both sentiment overlays in the fusion comparison.</w:t>
      </w:r>
    </w:p>
    <w:p>
      <w:r>
        <w:t>The sentiment evidence does not show positive predictive value for the implemented plain-VADER overlay. Coverage-Gated adds a coverage-aware control on signal size and reduces some of the Naive Tilt shortfall, but it remains unproven as a return enhancement. The product was built and evaluated; persistent superiority and sentiment alpha remain unproven.</w:t>
      </w:r>
    </w:p>
    <w:p>
      <w:r>
        <w:br w:type="page"/>
      </w:r>
    </w:p>
    <w:p>
      <w:pPr>
        <w:pStyle w:val="Heading1"/>
      </w:pPr>
      <w:r>
        <w:t>References</w:t>
      </w:r>
    </w:p>
    <w:p>
      <w:pPr>
        <w:spacing w:before="0" w:after="100"/>
        <w:ind w:hanging="425" w:left="425"/>
        <w:jc w:val="left"/>
      </w:pPr>
      <w:r>
        <w:rPr>
          <w:rFonts w:ascii="Aptos" w:hAnsi="Aptos"/>
          <w:i w:val="0"/>
          <w:sz w:val="21"/>
        </w:rPr>
        <w:t xml:space="preserve">Hric, J. and Lin, Y. (2026) </w:t>
      </w:r>
      <w:r>
        <w:rPr>
          <w:rFonts w:ascii="Aptos" w:hAnsi="Aptos"/>
          <w:i/>
          <w:sz w:val="21"/>
        </w:rPr>
        <w:t>Applied Data Science in FinTech: Models, Tools, and Case Studies</w:t>
      </w:r>
      <w:r>
        <w:rPr>
          <w:rFonts w:ascii="Aptos" w:hAnsi="Aptos"/>
          <w:i w:val="0"/>
          <w:sz w:val="21"/>
        </w:rPr>
        <w:t>. London: Routledge.</w:t>
      </w:r>
    </w:p>
    <w:p>
      <w:pPr>
        <w:spacing w:before="0" w:after="100"/>
        <w:ind w:hanging="425" w:left="425"/>
        <w:jc w:val="left"/>
      </w:pPr>
      <w:r>
        <w:rPr>
          <w:rFonts w:ascii="Aptos" w:hAnsi="Aptos"/>
          <w:i w:val="0"/>
          <w:sz w:val="21"/>
        </w:rPr>
        <w:t xml:space="preserve">Hutto, C.J. and Gilbert, E.E. (2014) 'VADER: A Parsimonious Rule-Based Model for Sentiment Analysis of Social Media Text', </w:t>
      </w:r>
      <w:r>
        <w:rPr>
          <w:rFonts w:ascii="Aptos" w:hAnsi="Aptos"/>
          <w:i/>
          <w:sz w:val="21"/>
        </w:rPr>
        <w:t>Proceedings of the International AAAI Conference on Web and Social Media</w:t>
      </w:r>
      <w:r>
        <w:rPr>
          <w:rFonts w:ascii="Aptos" w:hAnsi="Aptos"/>
          <w:i w:val="0"/>
          <w:sz w:val="21"/>
        </w:rPr>
        <w:t>, 8(1), pp. 216-225.</w:t>
      </w:r>
    </w:p>
    <w:p>
      <w:pPr>
        <w:spacing w:before="0" w:after="100"/>
        <w:ind w:hanging="425" w:left="425"/>
        <w:jc w:val="left"/>
      </w:pPr>
      <w:r>
        <w:rPr>
          <w:rFonts w:ascii="Aptos" w:hAnsi="Aptos"/>
          <w:i w:val="0"/>
          <w:sz w:val="21"/>
        </w:rPr>
        <w:t xml:space="preserve">Markowitz, H. (1952) 'Portfolio Selection', </w:t>
      </w:r>
      <w:r>
        <w:rPr>
          <w:rFonts w:ascii="Aptos" w:hAnsi="Aptos"/>
          <w:i/>
          <w:sz w:val="21"/>
        </w:rPr>
        <w:t>The Journal of Finance</w:t>
      </w:r>
      <w:r>
        <w:rPr>
          <w:rFonts w:ascii="Aptos" w:hAnsi="Aptos"/>
          <w:i w:val="0"/>
          <w:sz w:val="21"/>
        </w:rPr>
        <w:t>, 7(1), pp. 77-91.</w:t>
      </w:r>
    </w:p>
    <w:p>
      <w:pPr>
        <w:spacing w:before="0" w:after="100"/>
        <w:ind w:hanging="425" w:left="425"/>
        <w:jc w:val="left"/>
      </w:pPr>
      <w:r>
        <w:rPr>
          <w:rFonts w:ascii="Aptos" w:hAnsi="Aptos"/>
          <w:i w:val="0"/>
          <w:sz w:val="21"/>
        </w:rPr>
        <w:t xml:space="preserve">Sharpe, W.F. (1966) 'Mutual Fund Performance', </w:t>
      </w:r>
      <w:r>
        <w:rPr>
          <w:rFonts w:ascii="Aptos" w:hAnsi="Aptos"/>
          <w:i/>
          <w:sz w:val="21"/>
        </w:rPr>
        <w:t>The Journal of Business</w:t>
      </w:r>
      <w:r>
        <w:rPr>
          <w:rFonts w:ascii="Aptos" w:hAnsi="Aptos"/>
          <w:i w:val="0"/>
          <w:sz w:val="21"/>
        </w:rPr>
        <w:t>, 39(1, Part 2), pp. 119-138.</w:t>
      </w:r>
    </w:p>
    <w:p>
      <w:pPr>
        <w:spacing w:before="0" w:after="100"/>
        <w:ind w:hanging="425" w:left="425"/>
        <w:jc w:val="left"/>
      </w:pPr>
      <w:r>
        <w:rPr>
          <w:rFonts w:ascii="Aptos" w:hAnsi="Aptos"/>
          <w:i w:val="0"/>
          <w:sz w:val="21"/>
        </w:rPr>
        <w:t xml:space="preserve">UNSW Business School (2026) </w:t>
      </w:r>
      <w:r>
        <w:rPr>
          <w:rFonts w:ascii="Aptos" w:hAnsi="Aptos"/>
          <w:i/>
          <w:sz w:val="21"/>
        </w:rPr>
        <w:t>FINS3645 Project Data Bundle: project_data.zip</w:t>
      </w:r>
      <w:r>
        <w:rPr>
          <w:rFonts w:ascii="Aptos" w:hAnsi="Aptos"/>
          <w:i w:val="0"/>
          <w:sz w:val="21"/>
        </w:rPr>
        <w:t xml:space="preserve"> [dataset].</w:t>
      </w:r>
    </w:p>
    <w:p>
      <w:pPr>
        <w:sectPr>
          <w:headerReference w:type="default" r:id="rId9"/>
          <w:footerReference w:type="default" r:id="rId10"/>
          <w:pgSz w:w="11906" w:h="16838"/>
          <w:pgMar w:top="964" w:right="1020" w:bottom="964" w:left="1020" w:header="720" w:footer="720" w:gutter="0"/>
          <w:cols w:space="720"/>
          <w:titlePg/>
          <w:docGrid w:linePitch="360"/>
          <w:pgNumType w:start="1"/>
        </w:sectPr>
      </w:pPr>
    </w:p>
    <w:p>
      <w:pPr>
        <w:pStyle w:val="Heading1"/>
      </w:pPr>
      <w:r>
        <w:t>Appendices</w:t>
      </w:r>
    </w:p>
    <w:p>
      <w:pPr>
        <w:pStyle w:val="Caption"/>
        <w:keepNext/>
        <w:jc w:val="center"/>
      </w:pPr>
      <w:r>
        <w:rPr>
          <w:color w:val="142640"/>
          <w:sz w:val="17"/>
        </w:rPr>
        <w:t>Appendix Table A1a. Expanded fund performance metrics.</w:t>
      </w:r>
    </w:p>
    <w:tbl>
      <w:tblPr>
        <w:tblStyle w:val="TableGrid"/>
        <w:tblW w:type="dxa" w:w="11678"/>
        <w:jc w:val="center"/>
        <w:tblLayout w:type="fixed"/>
        <w:tblLook w:firstColumn="1" w:firstRow="1" w:lastColumn="0" w:lastRow="0" w:noHBand="0" w:noVBand="1" w:val="04A0"/>
      </w:tblPr>
      <w:tblGrid>
        <w:gridCol w:w="3175"/>
        <w:gridCol w:w="1871"/>
        <w:gridCol w:w="1871"/>
        <w:gridCol w:w="1757"/>
        <w:gridCol w:w="1247"/>
        <w:gridCol w:w="1757"/>
      </w:tblGrid>
      <w:tr>
        <w:trPr>
          <w:tblHeader/>
          <w:cantSplit/>
        </w:trPr>
        <w:tc>
          <w:tcPr>
            <w:tcW w:type="dxa" w:w="3175"/>
            <w:vAlign w:val="center"/>
            <w:shd w:fill="F2F4F5"/>
          </w:tcPr>
          <w:p>
            <w:pPr>
              <w:jc w:val="left"/>
            </w:pPr>
            <w:r/>
            <w:r>
              <w:rPr>
                <w:rFonts w:ascii="Aptos" w:hAnsi="Aptos"/>
                <w:b/>
                <w:sz w:val="15"/>
              </w:rPr>
              <w:t>Fund</w:t>
            </w:r>
          </w:p>
        </w:tc>
        <w:tc>
          <w:tcPr>
            <w:tcW w:type="dxa" w:w="1871"/>
            <w:vAlign w:val="center"/>
            <w:shd w:fill="F2F4F5"/>
          </w:tcPr>
          <w:p>
            <w:pPr>
              <w:jc w:val="left"/>
            </w:pPr>
            <w:r/>
            <w:r>
              <w:rPr>
                <w:rFonts w:ascii="Aptos" w:hAnsi="Aptos"/>
                <w:b/>
                <w:sz w:val="15"/>
              </w:rPr>
              <w:t>Cumulative net return</w:t>
            </w:r>
          </w:p>
        </w:tc>
        <w:tc>
          <w:tcPr>
            <w:tcW w:type="dxa" w:w="1871"/>
            <w:vAlign w:val="center"/>
            <w:shd w:fill="F2F4F5"/>
          </w:tcPr>
          <w:p>
            <w:pPr>
              <w:jc w:val="left"/>
            </w:pPr>
            <w:r/>
            <w:r>
              <w:rPr>
                <w:rFonts w:ascii="Aptos" w:hAnsi="Aptos"/>
                <w:b/>
                <w:sz w:val="15"/>
              </w:rPr>
              <w:t>Annualised net return</w:t>
            </w:r>
          </w:p>
        </w:tc>
        <w:tc>
          <w:tcPr>
            <w:tcW w:type="dxa" w:w="1757"/>
            <w:vAlign w:val="center"/>
            <w:shd w:fill="F2F4F5"/>
          </w:tcPr>
          <w:p>
            <w:pPr>
              <w:jc w:val="left"/>
            </w:pPr>
            <w:r/>
            <w:r>
              <w:rPr>
                <w:rFonts w:ascii="Aptos" w:hAnsi="Aptos"/>
                <w:b/>
                <w:sz w:val="15"/>
              </w:rPr>
              <w:t>Net volatility</w:t>
            </w:r>
          </w:p>
        </w:tc>
        <w:tc>
          <w:tcPr>
            <w:tcW w:type="dxa" w:w="1247"/>
            <w:vAlign w:val="center"/>
            <w:shd w:fill="F2F4F5"/>
          </w:tcPr>
          <w:p>
            <w:pPr>
              <w:jc w:val="left"/>
            </w:pPr>
            <w:r/>
            <w:r>
              <w:rPr>
                <w:rFonts w:ascii="Aptos" w:hAnsi="Aptos"/>
                <w:b/>
                <w:sz w:val="15"/>
              </w:rPr>
              <w:t>Net Sharpe</w:t>
            </w:r>
          </w:p>
        </w:tc>
        <w:tc>
          <w:tcPr>
            <w:tcW w:type="dxa" w:w="1757"/>
            <w:vAlign w:val="center"/>
            <w:shd w:fill="F2F4F5"/>
          </w:tcPr>
          <w:p>
            <w:pPr>
              <w:jc w:val="left"/>
            </w:pPr>
            <w:r/>
            <w:r>
              <w:rPr>
                <w:rFonts w:ascii="Aptos" w:hAnsi="Aptos"/>
                <w:b/>
                <w:sz w:val="15"/>
              </w:rPr>
              <w:t>Maximum drawdown</w:t>
            </w:r>
          </w:p>
        </w:tc>
      </w:tr>
      <w:tr>
        <w:trPr>
          <w:cantSplit/>
        </w:trPr>
        <w:tc>
          <w:tcPr>
            <w:tcW w:type="dxa" w:w="3175"/>
            <w:vAlign w:val="center"/>
          </w:tcPr>
          <w:p>
            <w:pPr>
              <w:jc w:val="left"/>
            </w:pPr>
            <w:r/>
            <w:r>
              <w:rPr>
                <w:rFonts w:ascii="Aptos" w:hAnsi="Aptos"/>
                <w:b w:val="0"/>
                <w:sz w:val="15"/>
              </w:rPr>
              <w:t>Equity Equal Weight</w:t>
            </w:r>
          </w:p>
        </w:tc>
        <w:tc>
          <w:tcPr>
            <w:tcW w:type="dxa" w:w="1871"/>
            <w:vAlign w:val="center"/>
          </w:tcPr>
          <w:p>
            <w:pPr>
              <w:jc w:val="left"/>
            </w:pPr>
            <w:r/>
            <w:r>
              <w:rPr>
                <w:rFonts w:ascii="Aptos" w:hAnsi="Aptos"/>
                <w:b w:val="0"/>
                <w:sz w:val="15"/>
              </w:rPr>
              <w:t>42.59%</w:t>
            </w:r>
          </w:p>
        </w:tc>
        <w:tc>
          <w:tcPr>
            <w:tcW w:type="dxa" w:w="1871"/>
            <w:vAlign w:val="center"/>
          </w:tcPr>
          <w:p>
            <w:pPr>
              <w:jc w:val="right"/>
            </w:pPr>
            <w:r/>
            <w:r>
              <w:rPr>
                <w:rFonts w:ascii="Aptos" w:hAnsi="Aptos"/>
                <w:b w:val="0"/>
                <w:sz w:val="15"/>
              </w:rPr>
              <w:t>12.61%</w:t>
            </w:r>
          </w:p>
        </w:tc>
        <w:tc>
          <w:tcPr>
            <w:tcW w:type="dxa" w:w="1757"/>
            <w:vAlign w:val="center"/>
          </w:tcPr>
          <w:p>
            <w:pPr>
              <w:jc w:val="right"/>
            </w:pPr>
            <w:r/>
            <w:r>
              <w:rPr>
                <w:rFonts w:ascii="Aptos" w:hAnsi="Aptos"/>
                <w:b w:val="0"/>
                <w:sz w:val="15"/>
              </w:rPr>
              <w:t>16.12%</w:t>
            </w:r>
          </w:p>
        </w:tc>
        <w:tc>
          <w:tcPr>
            <w:tcW w:type="dxa" w:w="1247"/>
            <w:vAlign w:val="center"/>
          </w:tcPr>
          <w:p>
            <w:pPr>
              <w:jc w:val="right"/>
            </w:pPr>
            <w:r/>
            <w:r>
              <w:rPr>
                <w:rFonts w:ascii="Aptos" w:hAnsi="Aptos"/>
                <w:b w:val="0"/>
                <w:sz w:val="15"/>
              </w:rPr>
              <w:t>0.82</w:t>
            </w:r>
          </w:p>
        </w:tc>
        <w:tc>
          <w:tcPr>
            <w:tcW w:type="dxa" w:w="1757"/>
            <w:vAlign w:val="center"/>
          </w:tcPr>
          <w:p>
            <w:pPr>
              <w:jc w:val="right"/>
            </w:pPr>
            <w:r/>
            <w:r>
              <w:rPr>
                <w:rFonts w:ascii="Aptos" w:hAnsi="Aptos"/>
                <w:b w:val="0"/>
                <w:sz w:val="15"/>
              </w:rPr>
              <w:t>-20.26%</w:t>
            </w:r>
          </w:p>
        </w:tc>
      </w:tr>
      <w:tr>
        <w:trPr>
          <w:cantSplit/>
        </w:trPr>
        <w:tc>
          <w:tcPr>
            <w:tcW w:type="dxa" w:w="3175"/>
            <w:vAlign w:val="center"/>
          </w:tcPr>
          <w:p>
            <w:pPr>
              <w:jc w:val="left"/>
            </w:pPr>
            <w:r/>
            <w:r>
              <w:rPr>
                <w:rFonts w:ascii="Aptos" w:hAnsi="Aptos"/>
                <w:b w:val="0"/>
                <w:sz w:val="15"/>
              </w:rPr>
              <w:t>Equity Minimum Variance</w:t>
            </w:r>
          </w:p>
        </w:tc>
        <w:tc>
          <w:tcPr>
            <w:tcW w:type="dxa" w:w="1871"/>
            <w:vAlign w:val="center"/>
          </w:tcPr>
          <w:p>
            <w:pPr>
              <w:jc w:val="left"/>
            </w:pPr>
            <w:r/>
            <w:r>
              <w:rPr>
                <w:rFonts w:ascii="Aptos" w:hAnsi="Aptos"/>
                <w:b w:val="0"/>
                <w:sz w:val="15"/>
              </w:rPr>
              <w:t>22.59%</w:t>
            </w:r>
          </w:p>
        </w:tc>
        <w:tc>
          <w:tcPr>
            <w:tcW w:type="dxa" w:w="1871"/>
            <w:vAlign w:val="center"/>
          </w:tcPr>
          <w:p>
            <w:pPr>
              <w:jc w:val="right"/>
            </w:pPr>
            <w:r/>
            <w:r>
              <w:rPr>
                <w:rFonts w:ascii="Aptos" w:hAnsi="Aptos"/>
                <w:b w:val="0"/>
                <w:sz w:val="15"/>
              </w:rPr>
              <w:t>7.05%</w:t>
            </w:r>
          </w:p>
        </w:tc>
        <w:tc>
          <w:tcPr>
            <w:tcW w:type="dxa" w:w="1757"/>
            <w:vAlign w:val="center"/>
          </w:tcPr>
          <w:p>
            <w:pPr>
              <w:jc w:val="right"/>
            </w:pPr>
            <w:r/>
            <w:r>
              <w:rPr>
                <w:rFonts w:ascii="Aptos" w:hAnsi="Aptos"/>
                <w:b w:val="0"/>
                <w:sz w:val="15"/>
              </w:rPr>
              <w:t>12.73%</w:t>
            </w:r>
          </w:p>
        </w:tc>
        <w:tc>
          <w:tcPr>
            <w:tcW w:type="dxa" w:w="1247"/>
            <w:vAlign w:val="center"/>
          </w:tcPr>
          <w:p>
            <w:pPr>
              <w:jc w:val="right"/>
            </w:pPr>
            <w:r/>
            <w:r>
              <w:rPr>
                <w:rFonts w:ascii="Aptos" w:hAnsi="Aptos"/>
                <w:b w:val="0"/>
                <w:sz w:val="15"/>
              </w:rPr>
              <w:t>0.60</w:t>
            </w:r>
          </w:p>
        </w:tc>
        <w:tc>
          <w:tcPr>
            <w:tcW w:type="dxa" w:w="1757"/>
            <w:vAlign w:val="center"/>
          </w:tcPr>
          <w:p>
            <w:pPr>
              <w:jc w:val="right"/>
            </w:pPr>
            <w:r/>
            <w:r>
              <w:rPr>
                <w:rFonts w:ascii="Aptos" w:hAnsi="Aptos"/>
                <w:b w:val="0"/>
                <w:sz w:val="15"/>
              </w:rPr>
              <w:t>-17.84%</w:t>
            </w:r>
          </w:p>
        </w:tc>
      </w:tr>
      <w:tr>
        <w:trPr>
          <w:cantSplit/>
        </w:trPr>
        <w:tc>
          <w:tcPr>
            <w:tcW w:type="dxa" w:w="3175"/>
            <w:vAlign w:val="center"/>
          </w:tcPr>
          <w:p>
            <w:pPr>
              <w:jc w:val="left"/>
            </w:pPr>
            <w:r/>
            <w:r>
              <w:rPr>
                <w:rFonts w:ascii="Aptos" w:hAnsi="Aptos"/>
                <w:b w:val="0"/>
                <w:sz w:val="15"/>
              </w:rPr>
              <w:t>Equity Risk Parity</w:t>
            </w:r>
          </w:p>
        </w:tc>
        <w:tc>
          <w:tcPr>
            <w:tcW w:type="dxa" w:w="1871"/>
            <w:vAlign w:val="center"/>
          </w:tcPr>
          <w:p>
            <w:pPr>
              <w:jc w:val="left"/>
            </w:pPr>
            <w:r/>
            <w:r>
              <w:rPr>
                <w:rFonts w:ascii="Aptos" w:hAnsi="Aptos"/>
                <w:b w:val="0"/>
                <w:sz w:val="15"/>
              </w:rPr>
              <w:t>33.08%</w:t>
            </w:r>
          </w:p>
        </w:tc>
        <w:tc>
          <w:tcPr>
            <w:tcW w:type="dxa" w:w="1871"/>
            <w:vAlign w:val="center"/>
          </w:tcPr>
          <w:p>
            <w:pPr>
              <w:jc w:val="right"/>
            </w:pPr>
            <w:r/>
            <w:r>
              <w:rPr>
                <w:rFonts w:ascii="Aptos" w:hAnsi="Aptos"/>
                <w:b w:val="0"/>
                <w:sz w:val="15"/>
              </w:rPr>
              <w:t>10.04%</w:t>
            </w:r>
          </w:p>
        </w:tc>
        <w:tc>
          <w:tcPr>
            <w:tcW w:type="dxa" w:w="1757"/>
            <w:vAlign w:val="center"/>
          </w:tcPr>
          <w:p>
            <w:pPr>
              <w:jc w:val="right"/>
            </w:pPr>
            <w:r/>
            <w:r>
              <w:rPr>
                <w:rFonts w:ascii="Aptos" w:hAnsi="Aptos"/>
                <w:b w:val="0"/>
                <w:sz w:val="15"/>
              </w:rPr>
              <w:t>14.93%</w:t>
            </w:r>
          </w:p>
        </w:tc>
        <w:tc>
          <w:tcPr>
            <w:tcW w:type="dxa" w:w="1247"/>
            <w:vAlign w:val="center"/>
          </w:tcPr>
          <w:p>
            <w:pPr>
              <w:jc w:val="right"/>
            </w:pPr>
            <w:r/>
            <w:r>
              <w:rPr>
                <w:rFonts w:ascii="Aptos" w:hAnsi="Aptos"/>
                <w:b w:val="0"/>
                <w:sz w:val="15"/>
              </w:rPr>
              <w:t>0.72</w:t>
            </w:r>
          </w:p>
        </w:tc>
        <w:tc>
          <w:tcPr>
            <w:tcW w:type="dxa" w:w="1757"/>
            <w:vAlign w:val="center"/>
          </w:tcPr>
          <w:p>
            <w:pPr>
              <w:jc w:val="right"/>
            </w:pPr>
            <w:r/>
            <w:r>
              <w:rPr>
                <w:rFonts w:ascii="Aptos" w:hAnsi="Aptos"/>
                <w:b w:val="0"/>
                <w:sz w:val="15"/>
              </w:rPr>
              <w:t>-19.41%</w:t>
            </w:r>
          </w:p>
        </w:tc>
      </w:tr>
      <w:tr>
        <w:trPr>
          <w:cantSplit/>
        </w:trPr>
        <w:tc>
          <w:tcPr>
            <w:tcW w:type="dxa" w:w="3175"/>
            <w:vAlign w:val="center"/>
          </w:tcPr>
          <w:p>
            <w:pPr>
              <w:jc w:val="left"/>
            </w:pPr>
            <w:r/>
            <w:r>
              <w:rPr>
                <w:rFonts w:ascii="Aptos" w:hAnsi="Aptos"/>
                <w:b w:val="0"/>
                <w:sz w:val="15"/>
              </w:rPr>
              <w:t>Equity Naive Sentiment Tilt</w:t>
            </w:r>
          </w:p>
        </w:tc>
        <w:tc>
          <w:tcPr>
            <w:tcW w:type="dxa" w:w="1871"/>
            <w:vAlign w:val="center"/>
          </w:tcPr>
          <w:p>
            <w:pPr>
              <w:jc w:val="left"/>
            </w:pPr>
            <w:r/>
            <w:r>
              <w:rPr>
                <w:rFonts w:ascii="Aptos" w:hAnsi="Aptos"/>
                <w:b w:val="0"/>
                <w:sz w:val="15"/>
              </w:rPr>
              <w:t>39.00%</w:t>
            </w:r>
          </w:p>
        </w:tc>
        <w:tc>
          <w:tcPr>
            <w:tcW w:type="dxa" w:w="1871"/>
            <w:vAlign w:val="center"/>
          </w:tcPr>
          <w:p>
            <w:pPr>
              <w:jc w:val="right"/>
            </w:pPr>
            <w:r/>
            <w:r>
              <w:rPr>
                <w:rFonts w:ascii="Aptos" w:hAnsi="Aptos"/>
                <w:b w:val="0"/>
                <w:sz w:val="15"/>
              </w:rPr>
              <w:t>11.65%</w:t>
            </w:r>
          </w:p>
        </w:tc>
        <w:tc>
          <w:tcPr>
            <w:tcW w:type="dxa" w:w="1757"/>
            <w:vAlign w:val="center"/>
          </w:tcPr>
          <w:p>
            <w:pPr>
              <w:jc w:val="right"/>
            </w:pPr>
            <w:r/>
            <w:r>
              <w:rPr>
                <w:rFonts w:ascii="Aptos" w:hAnsi="Aptos"/>
                <w:b w:val="0"/>
                <w:sz w:val="15"/>
              </w:rPr>
              <w:t>15.97%</w:t>
            </w:r>
          </w:p>
        </w:tc>
        <w:tc>
          <w:tcPr>
            <w:tcW w:type="dxa" w:w="1247"/>
            <w:vAlign w:val="center"/>
          </w:tcPr>
          <w:p>
            <w:pPr>
              <w:jc w:val="right"/>
            </w:pPr>
            <w:r/>
            <w:r>
              <w:rPr>
                <w:rFonts w:ascii="Aptos" w:hAnsi="Aptos"/>
                <w:b w:val="0"/>
                <w:sz w:val="15"/>
              </w:rPr>
              <w:t>0.77</w:t>
            </w:r>
          </w:p>
        </w:tc>
        <w:tc>
          <w:tcPr>
            <w:tcW w:type="dxa" w:w="1757"/>
            <w:vAlign w:val="center"/>
          </w:tcPr>
          <w:p>
            <w:pPr>
              <w:jc w:val="right"/>
            </w:pPr>
            <w:r/>
            <w:r>
              <w:rPr>
                <w:rFonts w:ascii="Aptos" w:hAnsi="Aptos"/>
                <w:b w:val="0"/>
                <w:sz w:val="15"/>
              </w:rPr>
              <w:t>-20.13%</w:t>
            </w:r>
          </w:p>
        </w:tc>
      </w:tr>
      <w:tr>
        <w:trPr>
          <w:cantSplit/>
        </w:trPr>
        <w:tc>
          <w:tcPr>
            <w:tcW w:type="dxa" w:w="3175"/>
            <w:vAlign w:val="center"/>
          </w:tcPr>
          <w:p>
            <w:pPr>
              <w:jc w:val="left"/>
            </w:pPr>
            <w:r/>
            <w:r>
              <w:rPr>
                <w:rFonts w:ascii="Aptos" w:hAnsi="Aptos"/>
                <w:b w:val="0"/>
                <w:sz w:val="15"/>
              </w:rPr>
              <w:t>Equity Coverage-Gated Sentiment Tilt</w:t>
            </w:r>
          </w:p>
        </w:tc>
        <w:tc>
          <w:tcPr>
            <w:tcW w:type="dxa" w:w="1871"/>
            <w:vAlign w:val="center"/>
          </w:tcPr>
          <w:p>
            <w:pPr>
              <w:jc w:val="left"/>
            </w:pPr>
            <w:r/>
            <w:r>
              <w:rPr>
                <w:rFonts w:ascii="Aptos" w:hAnsi="Aptos"/>
                <w:b w:val="0"/>
                <w:sz w:val="15"/>
              </w:rPr>
              <w:t>39.98%</w:t>
            </w:r>
          </w:p>
        </w:tc>
        <w:tc>
          <w:tcPr>
            <w:tcW w:type="dxa" w:w="1871"/>
            <w:vAlign w:val="center"/>
          </w:tcPr>
          <w:p>
            <w:pPr>
              <w:jc w:val="right"/>
            </w:pPr>
            <w:r/>
            <w:r>
              <w:rPr>
                <w:rFonts w:ascii="Aptos" w:hAnsi="Aptos"/>
                <w:b w:val="0"/>
                <w:sz w:val="15"/>
              </w:rPr>
              <w:t>11.91%</w:t>
            </w:r>
          </w:p>
        </w:tc>
        <w:tc>
          <w:tcPr>
            <w:tcW w:type="dxa" w:w="1757"/>
            <w:vAlign w:val="center"/>
          </w:tcPr>
          <w:p>
            <w:pPr>
              <w:jc w:val="right"/>
            </w:pPr>
            <w:r/>
            <w:r>
              <w:rPr>
                <w:rFonts w:ascii="Aptos" w:hAnsi="Aptos"/>
                <w:b w:val="0"/>
                <w:sz w:val="15"/>
              </w:rPr>
              <w:t>16.00%</w:t>
            </w:r>
          </w:p>
        </w:tc>
        <w:tc>
          <w:tcPr>
            <w:tcW w:type="dxa" w:w="1247"/>
            <w:vAlign w:val="center"/>
          </w:tcPr>
          <w:p>
            <w:pPr>
              <w:jc w:val="right"/>
            </w:pPr>
            <w:r/>
            <w:r>
              <w:rPr>
                <w:rFonts w:ascii="Aptos" w:hAnsi="Aptos"/>
                <w:b w:val="0"/>
                <w:sz w:val="15"/>
              </w:rPr>
              <w:t>0.78</w:t>
            </w:r>
          </w:p>
        </w:tc>
        <w:tc>
          <w:tcPr>
            <w:tcW w:type="dxa" w:w="1757"/>
            <w:vAlign w:val="center"/>
          </w:tcPr>
          <w:p>
            <w:pPr>
              <w:jc w:val="right"/>
            </w:pPr>
            <w:r/>
            <w:r>
              <w:rPr>
                <w:rFonts w:ascii="Aptos" w:hAnsi="Aptos"/>
                <w:b w:val="0"/>
                <w:sz w:val="15"/>
              </w:rPr>
              <w:t>-20.14%</w:t>
            </w:r>
          </w:p>
        </w:tc>
      </w:tr>
      <w:tr>
        <w:trPr>
          <w:cantSplit/>
        </w:trPr>
        <w:tc>
          <w:tcPr>
            <w:tcW w:type="dxa" w:w="3175"/>
            <w:vAlign w:val="center"/>
          </w:tcPr>
          <w:p>
            <w:pPr>
              <w:jc w:val="left"/>
            </w:pPr>
            <w:r/>
            <w:r>
              <w:rPr>
                <w:rFonts w:ascii="Aptos" w:hAnsi="Aptos"/>
                <w:b w:val="0"/>
                <w:sz w:val="15"/>
              </w:rPr>
              <w:t>Crypto Equal Weight</w:t>
            </w:r>
          </w:p>
        </w:tc>
        <w:tc>
          <w:tcPr>
            <w:tcW w:type="dxa" w:w="1871"/>
            <w:vAlign w:val="center"/>
          </w:tcPr>
          <w:p>
            <w:pPr>
              <w:jc w:val="left"/>
            </w:pPr>
            <w:r/>
            <w:r>
              <w:rPr>
                <w:rFonts w:ascii="Aptos" w:hAnsi="Aptos"/>
                <w:b w:val="0"/>
                <w:sz w:val="15"/>
              </w:rPr>
              <w:t>176.80%</w:t>
            </w:r>
          </w:p>
        </w:tc>
        <w:tc>
          <w:tcPr>
            <w:tcW w:type="dxa" w:w="1871"/>
            <w:vAlign w:val="center"/>
          </w:tcPr>
          <w:p>
            <w:pPr>
              <w:jc w:val="right"/>
            </w:pPr>
            <w:r/>
            <w:r>
              <w:rPr>
                <w:rFonts w:ascii="Aptos" w:hAnsi="Aptos"/>
                <w:b w:val="0"/>
                <w:sz w:val="15"/>
              </w:rPr>
              <w:t>40.41%</w:t>
            </w:r>
          </w:p>
        </w:tc>
        <w:tc>
          <w:tcPr>
            <w:tcW w:type="dxa" w:w="1757"/>
            <w:vAlign w:val="center"/>
          </w:tcPr>
          <w:p>
            <w:pPr>
              <w:jc w:val="right"/>
            </w:pPr>
            <w:r/>
            <w:r>
              <w:rPr>
                <w:rFonts w:ascii="Aptos" w:hAnsi="Aptos"/>
                <w:b w:val="0"/>
                <w:sz w:val="15"/>
              </w:rPr>
              <w:t>81.89%</w:t>
            </w:r>
          </w:p>
        </w:tc>
        <w:tc>
          <w:tcPr>
            <w:tcW w:type="dxa" w:w="1247"/>
            <w:vAlign w:val="center"/>
          </w:tcPr>
          <w:p>
            <w:pPr>
              <w:jc w:val="right"/>
            </w:pPr>
            <w:r/>
            <w:r>
              <w:rPr>
                <w:rFonts w:ascii="Aptos" w:hAnsi="Aptos"/>
                <w:b w:val="0"/>
                <w:sz w:val="15"/>
              </w:rPr>
              <w:t>0.83</w:t>
            </w:r>
          </w:p>
        </w:tc>
        <w:tc>
          <w:tcPr>
            <w:tcW w:type="dxa" w:w="1757"/>
            <w:vAlign w:val="center"/>
          </w:tcPr>
          <w:p>
            <w:pPr>
              <w:jc w:val="right"/>
            </w:pPr>
            <w:r/>
            <w:r>
              <w:rPr>
                <w:rFonts w:ascii="Aptos" w:hAnsi="Aptos"/>
                <w:b w:val="0"/>
                <w:sz w:val="15"/>
              </w:rPr>
              <w:t>-81.59%</w:t>
            </w:r>
          </w:p>
        </w:tc>
      </w:tr>
      <w:tr>
        <w:trPr>
          <w:cantSplit/>
        </w:trPr>
        <w:tc>
          <w:tcPr>
            <w:tcW w:type="dxa" w:w="3175"/>
            <w:vAlign w:val="center"/>
          </w:tcPr>
          <w:p>
            <w:pPr>
              <w:jc w:val="left"/>
            </w:pPr>
            <w:r/>
            <w:r>
              <w:rPr>
                <w:rFonts w:ascii="Aptos" w:hAnsi="Aptos"/>
                <w:b w:val="0"/>
                <w:sz w:val="15"/>
              </w:rPr>
              <w:t>Crypto Minimum Variance</w:t>
            </w:r>
          </w:p>
        </w:tc>
        <w:tc>
          <w:tcPr>
            <w:tcW w:type="dxa" w:w="1871"/>
            <w:vAlign w:val="center"/>
          </w:tcPr>
          <w:p>
            <w:pPr>
              <w:jc w:val="left"/>
            </w:pPr>
            <w:r/>
            <w:r>
              <w:rPr>
                <w:rFonts w:ascii="Aptos" w:hAnsi="Aptos"/>
                <w:b w:val="0"/>
                <w:sz w:val="15"/>
              </w:rPr>
              <w:t>232.47%</w:t>
            </w:r>
          </w:p>
        </w:tc>
        <w:tc>
          <w:tcPr>
            <w:tcW w:type="dxa" w:w="1871"/>
            <w:vAlign w:val="center"/>
          </w:tcPr>
          <w:p>
            <w:pPr>
              <w:jc w:val="right"/>
            </w:pPr>
            <w:r/>
            <w:r>
              <w:rPr>
                <w:rFonts w:ascii="Aptos" w:hAnsi="Aptos"/>
                <w:b w:val="0"/>
                <w:sz w:val="15"/>
              </w:rPr>
              <w:t>49.25%</w:t>
            </w:r>
          </w:p>
        </w:tc>
        <w:tc>
          <w:tcPr>
            <w:tcW w:type="dxa" w:w="1757"/>
            <w:vAlign w:val="center"/>
          </w:tcPr>
          <w:p>
            <w:pPr>
              <w:jc w:val="right"/>
            </w:pPr>
            <w:r/>
            <w:r>
              <w:rPr>
                <w:rFonts w:ascii="Aptos" w:hAnsi="Aptos"/>
                <w:b w:val="0"/>
                <w:sz w:val="15"/>
              </w:rPr>
              <w:t>76.12%</w:t>
            </w:r>
          </w:p>
        </w:tc>
        <w:tc>
          <w:tcPr>
            <w:tcW w:type="dxa" w:w="1247"/>
            <w:vAlign w:val="center"/>
          </w:tcPr>
          <w:p>
            <w:pPr>
              <w:jc w:val="right"/>
            </w:pPr>
            <w:r/>
            <w:r>
              <w:rPr>
                <w:rFonts w:ascii="Aptos" w:hAnsi="Aptos"/>
                <w:b w:val="0"/>
                <w:sz w:val="15"/>
              </w:rPr>
              <w:t>0.91</w:t>
            </w:r>
          </w:p>
        </w:tc>
        <w:tc>
          <w:tcPr>
            <w:tcW w:type="dxa" w:w="1757"/>
            <w:vAlign w:val="center"/>
          </w:tcPr>
          <w:p>
            <w:pPr>
              <w:jc w:val="right"/>
            </w:pPr>
            <w:r/>
            <w:r>
              <w:rPr>
                <w:rFonts w:ascii="Aptos" w:hAnsi="Aptos"/>
                <w:b w:val="0"/>
                <w:sz w:val="15"/>
              </w:rPr>
              <w:t>-73.55%</w:t>
            </w:r>
          </w:p>
        </w:tc>
      </w:tr>
      <w:tr>
        <w:trPr>
          <w:cantSplit/>
        </w:trPr>
        <w:tc>
          <w:tcPr>
            <w:tcW w:type="dxa" w:w="3175"/>
            <w:vAlign w:val="center"/>
          </w:tcPr>
          <w:p>
            <w:pPr>
              <w:jc w:val="left"/>
            </w:pPr>
            <w:r/>
            <w:r>
              <w:rPr>
                <w:rFonts w:ascii="Aptos" w:hAnsi="Aptos"/>
                <w:b w:val="0"/>
                <w:sz w:val="15"/>
              </w:rPr>
              <w:t>Crypto Risk Parity</w:t>
            </w:r>
          </w:p>
        </w:tc>
        <w:tc>
          <w:tcPr>
            <w:tcW w:type="dxa" w:w="1871"/>
            <w:vAlign w:val="center"/>
          </w:tcPr>
          <w:p>
            <w:pPr>
              <w:jc w:val="left"/>
            </w:pPr>
            <w:r/>
            <w:r>
              <w:rPr>
                <w:rFonts w:ascii="Aptos" w:hAnsi="Aptos"/>
                <w:b w:val="0"/>
                <w:sz w:val="15"/>
              </w:rPr>
              <w:t>184.46%</w:t>
            </w:r>
          </w:p>
        </w:tc>
        <w:tc>
          <w:tcPr>
            <w:tcW w:type="dxa" w:w="1871"/>
            <w:vAlign w:val="center"/>
          </w:tcPr>
          <w:p>
            <w:pPr>
              <w:jc w:val="right"/>
            </w:pPr>
            <w:r/>
            <w:r>
              <w:rPr>
                <w:rFonts w:ascii="Aptos" w:hAnsi="Aptos"/>
                <w:b w:val="0"/>
                <w:sz w:val="15"/>
              </w:rPr>
              <w:t>41.69%</w:t>
            </w:r>
          </w:p>
        </w:tc>
        <w:tc>
          <w:tcPr>
            <w:tcW w:type="dxa" w:w="1757"/>
            <w:vAlign w:val="center"/>
          </w:tcPr>
          <w:p>
            <w:pPr>
              <w:jc w:val="right"/>
            </w:pPr>
            <w:r/>
            <w:r>
              <w:rPr>
                <w:rFonts w:ascii="Aptos" w:hAnsi="Aptos"/>
                <w:b w:val="0"/>
                <w:sz w:val="15"/>
              </w:rPr>
              <w:t>80.26%</w:t>
            </w:r>
          </w:p>
        </w:tc>
        <w:tc>
          <w:tcPr>
            <w:tcW w:type="dxa" w:w="1247"/>
            <w:vAlign w:val="center"/>
          </w:tcPr>
          <w:p>
            <w:pPr>
              <w:jc w:val="right"/>
            </w:pPr>
            <w:r/>
            <w:r>
              <w:rPr>
                <w:rFonts w:ascii="Aptos" w:hAnsi="Aptos"/>
                <w:b w:val="0"/>
                <w:sz w:val="15"/>
              </w:rPr>
              <w:t>0.84</w:t>
            </w:r>
          </w:p>
        </w:tc>
        <w:tc>
          <w:tcPr>
            <w:tcW w:type="dxa" w:w="1757"/>
            <w:vAlign w:val="center"/>
          </w:tcPr>
          <w:p>
            <w:pPr>
              <w:jc w:val="right"/>
            </w:pPr>
            <w:r/>
            <w:r>
              <w:rPr>
                <w:rFonts w:ascii="Aptos" w:hAnsi="Aptos"/>
                <w:b w:val="0"/>
                <w:sz w:val="15"/>
              </w:rPr>
              <w:t>-80.49%</w:t>
            </w:r>
          </w:p>
        </w:tc>
      </w:tr>
      <w:tr>
        <w:trPr>
          <w:cantSplit/>
        </w:trPr>
        <w:tc>
          <w:tcPr>
            <w:tcW w:type="dxa" w:w="3175"/>
            <w:vAlign w:val="center"/>
          </w:tcPr>
          <w:p>
            <w:pPr>
              <w:jc w:val="left"/>
            </w:pPr>
            <w:r/>
            <w:r>
              <w:rPr>
                <w:rFonts w:ascii="Aptos" w:hAnsi="Aptos"/>
                <w:b w:val="0"/>
                <w:sz w:val="15"/>
              </w:rPr>
              <w:t>Combined Equal Weight</w:t>
            </w:r>
          </w:p>
        </w:tc>
        <w:tc>
          <w:tcPr>
            <w:tcW w:type="dxa" w:w="1871"/>
            <w:vAlign w:val="center"/>
          </w:tcPr>
          <w:p>
            <w:pPr>
              <w:jc w:val="left"/>
            </w:pPr>
            <w:r/>
            <w:r>
              <w:rPr>
                <w:rFonts w:ascii="Aptos" w:hAnsi="Aptos"/>
                <w:b w:val="0"/>
                <w:sz w:val="15"/>
              </w:rPr>
              <w:t>52.16%</w:t>
            </w:r>
          </w:p>
        </w:tc>
        <w:tc>
          <w:tcPr>
            <w:tcW w:type="dxa" w:w="1871"/>
            <w:vAlign w:val="center"/>
          </w:tcPr>
          <w:p>
            <w:pPr>
              <w:jc w:val="right"/>
            </w:pPr>
            <w:r/>
            <w:r>
              <w:rPr>
                <w:rFonts w:ascii="Aptos" w:hAnsi="Aptos"/>
                <w:b w:val="0"/>
                <w:sz w:val="15"/>
              </w:rPr>
              <w:t>15.08%</w:t>
            </w:r>
          </w:p>
        </w:tc>
        <w:tc>
          <w:tcPr>
            <w:tcW w:type="dxa" w:w="1757"/>
            <w:vAlign w:val="center"/>
          </w:tcPr>
          <w:p>
            <w:pPr>
              <w:jc w:val="right"/>
            </w:pPr>
            <w:r/>
            <w:r>
              <w:rPr>
                <w:rFonts w:ascii="Aptos" w:hAnsi="Aptos"/>
                <w:b w:val="0"/>
                <w:sz w:val="15"/>
              </w:rPr>
              <w:t>21.60%</w:t>
            </w:r>
          </w:p>
        </w:tc>
        <w:tc>
          <w:tcPr>
            <w:tcW w:type="dxa" w:w="1247"/>
            <w:vAlign w:val="center"/>
          </w:tcPr>
          <w:p>
            <w:pPr>
              <w:jc w:val="right"/>
            </w:pPr>
            <w:r/>
            <w:r>
              <w:rPr>
                <w:rFonts w:ascii="Aptos" w:hAnsi="Aptos"/>
                <w:b w:val="0"/>
                <w:sz w:val="15"/>
              </w:rPr>
              <w:t>0.76</w:t>
            </w:r>
          </w:p>
        </w:tc>
        <w:tc>
          <w:tcPr>
            <w:tcW w:type="dxa" w:w="1757"/>
            <w:vAlign w:val="center"/>
          </w:tcPr>
          <w:p>
            <w:pPr>
              <w:jc w:val="right"/>
            </w:pPr>
            <w:r/>
            <w:r>
              <w:rPr>
                <w:rFonts w:ascii="Aptos" w:hAnsi="Aptos"/>
                <w:b w:val="0"/>
                <w:sz w:val="15"/>
              </w:rPr>
              <w:t>-27.90%</w:t>
            </w:r>
          </w:p>
        </w:tc>
      </w:tr>
      <w:tr>
        <w:trPr>
          <w:cantSplit/>
        </w:trPr>
        <w:tc>
          <w:tcPr>
            <w:tcW w:type="dxa" w:w="3175"/>
            <w:vAlign w:val="center"/>
          </w:tcPr>
          <w:p>
            <w:pPr>
              <w:jc w:val="left"/>
            </w:pPr>
            <w:r/>
            <w:r>
              <w:rPr>
                <w:rFonts w:ascii="Aptos" w:hAnsi="Aptos"/>
                <w:b w:val="0"/>
                <w:sz w:val="15"/>
              </w:rPr>
              <w:t>Combined Minimum Variance</w:t>
            </w:r>
          </w:p>
        </w:tc>
        <w:tc>
          <w:tcPr>
            <w:tcW w:type="dxa" w:w="1871"/>
            <w:vAlign w:val="center"/>
          </w:tcPr>
          <w:p>
            <w:pPr>
              <w:jc w:val="left"/>
            </w:pPr>
            <w:r/>
            <w:r>
              <w:rPr>
                <w:rFonts w:ascii="Aptos" w:hAnsi="Aptos"/>
                <w:b w:val="0"/>
                <w:sz w:val="15"/>
              </w:rPr>
              <w:t>22.57%</w:t>
            </w:r>
          </w:p>
        </w:tc>
        <w:tc>
          <w:tcPr>
            <w:tcW w:type="dxa" w:w="1871"/>
            <w:vAlign w:val="center"/>
          </w:tcPr>
          <w:p>
            <w:pPr>
              <w:jc w:val="right"/>
            </w:pPr>
            <w:r/>
            <w:r>
              <w:rPr>
                <w:rFonts w:ascii="Aptos" w:hAnsi="Aptos"/>
                <w:b w:val="0"/>
                <w:sz w:val="15"/>
              </w:rPr>
              <w:t>7.05%</w:t>
            </w:r>
          </w:p>
        </w:tc>
        <w:tc>
          <w:tcPr>
            <w:tcW w:type="dxa" w:w="1757"/>
            <w:vAlign w:val="center"/>
          </w:tcPr>
          <w:p>
            <w:pPr>
              <w:jc w:val="right"/>
            </w:pPr>
            <w:r/>
            <w:r>
              <w:rPr>
                <w:rFonts w:ascii="Aptos" w:hAnsi="Aptos"/>
                <w:b w:val="0"/>
                <w:sz w:val="15"/>
              </w:rPr>
              <w:t>12.72%</w:t>
            </w:r>
          </w:p>
        </w:tc>
        <w:tc>
          <w:tcPr>
            <w:tcW w:type="dxa" w:w="1247"/>
            <w:vAlign w:val="center"/>
          </w:tcPr>
          <w:p>
            <w:pPr>
              <w:jc w:val="right"/>
            </w:pPr>
            <w:r/>
            <w:r>
              <w:rPr>
                <w:rFonts w:ascii="Aptos" w:hAnsi="Aptos"/>
                <w:b w:val="0"/>
                <w:sz w:val="15"/>
              </w:rPr>
              <w:t>0.60</w:t>
            </w:r>
          </w:p>
        </w:tc>
        <w:tc>
          <w:tcPr>
            <w:tcW w:type="dxa" w:w="1757"/>
            <w:vAlign w:val="center"/>
          </w:tcPr>
          <w:p>
            <w:pPr>
              <w:jc w:val="right"/>
            </w:pPr>
            <w:r/>
            <w:r>
              <w:rPr>
                <w:rFonts w:ascii="Aptos" w:hAnsi="Aptos"/>
                <w:b w:val="0"/>
                <w:sz w:val="15"/>
              </w:rPr>
              <w:t>-17.84%</w:t>
            </w:r>
          </w:p>
        </w:tc>
      </w:tr>
      <w:tr>
        <w:trPr>
          <w:cantSplit/>
        </w:trPr>
        <w:tc>
          <w:tcPr>
            <w:tcW w:type="dxa" w:w="3175"/>
            <w:vAlign w:val="center"/>
          </w:tcPr>
          <w:p>
            <w:pPr>
              <w:jc w:val="left"/>
            </w:pPr>
            <w:r/>
            <w:r>
              <w:rPr>
                <w:rFonts w:ascii="Aptos" w:hAnsi="Aptos"/>
                <w:b w:val="0"/>
                <w:sz w:val="15"/>
              </w:rPr>
              <w:t>Combined Risk Parity</w:t>
            </w:r>
          </w:p>
        </w:tc>
        <w:tc>
          <w:tcPr>
            <w:tcW w:type="dxa" w:w="1871"/>
            <w:vAlign w:val="center"/>
          </w:tcPr>
          <w:p>
            <w:pPr>
              <w:jc w:val="left"/>
            </w:pPr>
            <w:r/>
            <w:r>
              <w:rPr>
                <w:rFonts w:ascii="Aptos" w:hAnsi="Aptos"/>
                <w:b w:val="0"/>
                <w:sz w:val="15"/>
              </w:rPr>
              <w:t>43.12%</w:t>
            </w:r>
          </w:p>
        </w:tc>
        <w:tc>
          <w:tcPr>
            <w:tcW w:type="dxa" w:w="1871"/>
            <w:vAlign w:val="center"/>
          </w:tcPr>
          <w:p>
            <w:pPr>
              <w:jc w:val="right"/>
            </w:pPr>
            <w:r/>
            <w:r>
              <w:rPr>
                <w:rFonts w:ascii="Aptos" w:hAnsi="Aptos"/>
                <w:b w:val="0"/>
                <w:sz w:val="15"/>
              </w:rPr>
              <w:t>12.75%</w:t>
            </w:r>
          </w:p>
        </w:tc>
        <w:tc>
          <w:tcPr>
            <w:tcW w:type="dxa" w:w="1757"/>
            <w:vAlign w:val="center"/>
          </w:tcPr>
          <w:p>
            <w:pPr>
              <w:jc w:val="right"/>
            </w:pPr>
            <w:r/>
            <w:r>
              <w:rPr>
                <w:rFonts w:ascii="Aptos" w:hAnsi="Aptos"/>
                <w:b w:val="0"/>
                <w:sz w:val="15"/>
              </w:rPr>
              <w:t>17.44%</w:t>
            </w:r>
          </w:p>
        </w:tc>
        <w:tc>
          <w:tcPr>
            <w:tcW w:type="dxa" w:w="1247"/>
            <w:vAlign w:val="center"/>
          </w:tcPr>
          <w:p>
            <w:pPr>
              <w:jc w:val="right"/>
            </w:pPr>
            <w:r/>
            <w:r>
              <w:rPr>
                <w:rFonts w:ascii="Aptos" w:hAnsi="Aptos"/>
                <w:b w:val="0"/>
                <w:sz w:val="15"/>
              </w:rPr>
              <w:t>0.78</w:t>
            </w:r>
          </w:p>
        </w:tc>
        <w:tc>
          <w:tcPr>
            <w:tcW w:type="dxa" w:w="1757"/>
            <w:vAlign w:val="center"/>
          </w:tcPr>
          <w:p>
            <w:pPr>
              <w:jc w:val="right"/>
            </w:pPr>
            <w:r/>
            <w:r>
              <w:rPr>
                <w:rFonts w:ascii="Aptos" w:hAnsi="Aptos"/>
                <w:b w:val="0"/>
                <w:sz w:val="15"/>
              </w:rPr>
              <w:t>-22.40%</w:t>
            </w:r>
          </w:p>
        </w:tc>
      </w:tr>
    </w:tbl>
    <w:p/>
    <w:p>
      <w:pPr>
        <w:spacing w:after="80"/>
      </w:pPr>
      <w:r>
        <w:rPr>
          <w:i/>
          <w:color w:val="505050"/>
          <w:sz w:val="16"/>
        </w:rPr>
        <w:t>Source: UNSW Business School FINS3645 Project Data Bundle; Signal Mosaic calculations.</w:t>
      </w:r>
    </w:p>
    <w:p>
      <w:r>
        <w:br w:type="page"/>
      </w:r>
    </w:p>
    <w:p>
      <w:pPr>
        <w:pStyle w:val="Caption"/>
        <w:keepNext/>
        <w:jc w:val="center"/>
      </w:pPr>
      <w:r>
        <w:rPr>
          <w:color w:val="142640"/>
          <w:sz w:val="17"/>
        </w:rPr>
        <w:t>Appendix Table A1b. Expanded fund implementation metrics.</w:t>
      </w:r>
    </w:p>
    <w:tbl>
      <w:tblPr>
        <w:tblStyle w:val="TableGrid"/>
        <w:tblW w:type="dxa" w:w="10598"/>
        <w:jc w:val="center"/>
        <w:tblLayout w:type="fixed"/>
        <w:tblLook w:firstColumn="1" w:firstRow="1" w:lastColumn="0" w:lastRow="0" w:noHBand="0" w:noVBand="1" w:val="04A0"/>
      </w:tblPr>
      <w:tblGrid>
        <w:gridCol w:w="2721"/>
        <w:gridCol w:w="793"/>
        <w:gridCol w:w="737"/>
        <w:gridCol w:w="1247"/>
        <w:gridCol w:w="1247"/>
        <w:gridCol w:w="963"/>
        <w:gridCol w:w="850"/>
        <w:gridCol w:w="1020"/>
        <w:gridCol w:w="1020"/>
      </w:tblGrid>
      <w:tr>
        <w:trPr>
          <w:tblHeader/>
          <w:cantSplit/>
        </w:trPr>
        <w:tc>
          <w:tcPr>
            <w:tcW w:type="dxa" w:w="2721"/>
            <w:vAlign w:val="center"/>
            <w:shd w:fill="F2F4F5"/>
          </w:tcPr>
          <w:p>
            <w:pPr>
              <w:jc w:val="left"/>
            </w:pPr>
            <w:r/>
            <w:r>
              <w:rPr>
                <w:rFonts w:ascii="Aptos" w:hAnsi="Aptos"/>
                <w:b/>
                <w:sz w:val="15"/>
              </w:rPr>
              <w:t>Fund</w:t>
            </w:r>
          </w:p>
        </w:tc>
        <w:tc>
          <w:tcPr>
            <w:tcW w:type="dxa" w:w="794"/>
            <w:vAlign w:val="center"/>
            <w:shd w:fill="F2F4F5"/>
          </w:tcPr>
          <w:p>
            <w:pPr>
              <w:jc w:val="left"/>
            </w:pPr>
            <w:r/>
            <w:r>
              <w:rPr>
                <w:rFonts w:ascii="Aptos" w:hAnsi="Aptos"/>
                <w:b/>
                <w:sz w:val="15"/>
              </w:rPr>
              <w:t>Obs.</w:t>
            </w:r>
          </w:p>
        </w:tc>
        <w:tc>
          <w:tcPr>
            <w:tcW w:type="dxa" w:w="737"/>
            <w:vAlign w:val="center"/>
            <w:shd w:fill="F2F4F5"/>
          </w:tcPr>
          <w:p>
            <w:pPr>
              <w:jc w:val="left"/>
            </w:pPr>
            <w:r/>
            <w:r>
              <w:rPr>
                <w:rFonts w:ascii="Aptos" w:hAnsi="Aptos"/>
                <w:b/>
                <w:sz w:val="15"/>
              </w:rPr>
              <w:t>Ann.</w:t>
            </w:r>
          </w:p>
        </w:tc>
        <w:tc>
          <w:tcPr>
            <w:tcW w:type="dxa" w:w="1247"/>
            <w:vAlign w:val="center"/>
            <w:shd w:fill="F2F4F5"/>
          </w:tcPr>
          <w:p>
            <w:pPr>
              <w:jc w:val="left"/>
            </w:pPr>
            <w:r/>
            <w:r>
              <w:rPr>
                <w:rFonts w:ascii="Aptos" w:hAnsi="Aptos"/>
                <w:b/>
                <w:sz w:val="15"/>
              </w:rPr>
              <w:t>Avg. turnover</w:t>
            </w:r>
          </w:p>
        </w:tc>
        <w:tc>
          <w:tcPr>
            <w:tcW w:type="dxa" w:w="1247"/>
            <w:vAlign w:val="center"/>
            <w:shd w:fill="F2F4F5"/>
          </w:tcPr>
          <w:p>
            <w:pPr>
              <w:jc w:val="left"/>
            </w:pPr>
            <w:r/>
            <w:r>
              <w:rPr>
                <w:rFonts w:ascii="Aptos" w:hAnsi="Aptos"/>
                <w:b/>
                <w:sz w:val="15"/>
              </w:rPr>
              <w:t>Total turnover</w:t>
            </w:r>
          </w:p>
        </w:tc>
        <w:tc>
          <w:tcPr>
            <w:tcW w:type="dxa" w:w="964"/>
            <w:vAlign w:val="center"/>
            <w:shd w:fill="F2F4F5"/>
          </w:tcPr>
          <w:p>
            <w:pPr>
              <w:jc w:val="left"/>
            </w:pPr>
            <w:r/>
            <w:r>
              <w:rPr>
                <w:rFonts w:ascii="Aptos" w:hAnsi="Aptos"/>
                <w:b/>
                <w:sz w:val="15"/>
              </w:rPr>
              <w:t>Total cost</w:t>
            </w:r>
          </w:p>
        </w:tc>
        <w:tc>
          <w:tcPr>
            <w:tcW w:type="dxa" w:w="850"/>
            <w:vAlign w:val="center"/>
            <w:shd w:fill="F2F4F5"/>
          </w:tcPr>
          <w:p>
            <w:pPr>
              <w:jc w:val="left"/>
            </w:pPr>
            <w:r/>
            <w:r>
              <w:rPr>
                <w:rFonts w:ascii="Aptos" w:hAnsi="Aptos"/>
                <w:b/>
                <w:sz w:val="15"/>
              </w:rPr>
              <w:t>Rebalances</w:t>
            </w:r>
          </w:p>
        </w:tc>
        <w:tc>
          <w:tcPr>
            <w:tcW w:type="dxa" w:w="1020"/>
            <w:vAlign w:val="center"/>
            <w:shd w:fill="F2F4F5"/>
          </w:tcPr>
          <w:p>
            <w:pPr>
              <w:jc w:val="left"/>
            </w:pPr>
            <w:r/>
            <w:r>
              <w:rPr>
                <w:rFonts w:ascii="Aptos" w:hAnsi="Aptos"/>
                <w:b/>
                <w:sz w:val="15"/>
              </w:rPr>
              <w:t>Non-zero holdings</w:t>
            </w:r>
          </w:p>
        </w:tc>
        <w:tc>
          <w:tcPr>
            <w:tcW w:type="dxa" w:w="1020"/>
            <w:vAlign w:val="center"/>
            <w:shd w:fill="F2F4F5"/>
          </w:tcPr>
          <w:p>
            <w:pPr>
              <w:jc w:val="left"/>
            </w:pPr>
            <w:r/>
            <w:r>
              <w:rPr>
                <w:rFonts w:ascii="Aptos" w:hAnsi="Aptos"/>
                <w:b/>
                <w:sz w:val="15"/>
              </w:rPr>
              <w:t>Largest target</w:t>
            </w:r>
          </w:p>
        </w:tc>
      </w:tr>
      <w:tr>
        <w:trPr>
          <w:cantSplit/>
        </w:trPr>
        <w:tc>
          <w:tcPr>
            <w:tcW w:type="dxa" w:w="2721"/>
            <w:vAlign w:val="center"/>
          </w:tcPr>
          <w:p>
            <w:pPr>
              <w:jc w:val="left"/>
            </w:pPr>
            <w:r/>
            <w:r>
              <w:rPr>
                <w:rFonts w:ascii="Aptos" w:hAnsi="Aptos"/>
                <w:b w:val="0"/>
                <w:sz w:val="15"/>
              </w:rPr>
              <w:t>Equity Equal Weight</w:t>
            </w:r>
          </w:p>
        </w:tc>
        <w:tc>
          <w:tcPr>
            <w:tcW w:type="dxa" w:w="794"/>
            <w:vAlign w:val="center"/>
          </w:tcPr>
          <w:p>
            <w:pPr>
              <w:jc w:val="left"/>
            </w:pPr>
            <w:r/>
            <w:r>
              <w:rPr>
                <w:rFonts w:ascii="Aptos" w:hAnsi="Aptos"/>
                <w:b w:val="0"/>
                <w:sz w:val="15"/>
              </w:rPr>
              <w:t>753</w:t>
            </w:r>
          </w:p>
        </w:tc>
        <w:tc>
          <w:tcPr>
            <w:tcW w:type="dxa" w:w="737"/>
            <w:vAlign w:val="center"/>
          </w:tcPr>
          <w:p>
            <w:pPr>
              <w:jc w:val="right"/>
            </w:pPr>
            <w:r/>
            <w:r>
              <w:rPr>
                <w:rFonts w:ascii="Aptos" w:hAnsi="Aptos"/>
                <w:b w:val="0"/>
                <w:sz w:val="15"/>
              </w:rPr>
              <w:t>252</w:t>
            </w:r>
          </w:p>
        </w:tc>
        <w:tc>
          <w:tcPr>
            <w:tcW w:type="dxa" w:w="1247"/>
            <w:vAlign w:val="center"/>
          </w:tcPr>
          <w:p>
            <w:pPr>
              <w:jc w:val="right"/>
            </w:pPr>
            <w:r/>
            <w:r>
              <w:rPr>
                <w:rFonts w:ascii="Aptos" w:hAnsi="Aptos"/>
                <w:b w:val="0"/>
                <w:sz w:val="15"/>
              </w:rPr>
              <w:t>2.65%</w:t>
            </w:r>
          </w:p>
        </w:tc>
        <w:tc>
          <w:tcPr>
            <w:tcW w:type="dxa" w:w="1247"/>
            <w:vAlign w:val="center"/>
          </w:tcPr>
          <w:p>
            <w:pPr>
              <w:jc w:val="right"/>
            </w:pPr>
            <w:r/>
            <w:r>
              <w:rPr>
                <w:rFonts w:ascii="Aptos" w:hAnsi="Aptos"/>
                <w:b w:val="0"/>
                <w:sz w:val="15"/>
              </w:rPr>
              <w:t>95.34%</w:t>
            </w:r>
          </w:p>
        </w:tc>
        <w:tc>
          <w:tcPr>
            <w:tcW w:type="dxa" w:w="964"/>
            <w:vAlign w:val="center"/>
          </w:tcPr>
          <w:p>
            <w:pPr>
              <w:jc w:val="right"/>
            </w:pPr>
            <w:r/>
            <w:r>
              <w:rPr>
                <w:rFonts w:ascii="Aptos" w:hAnsi="Aptos"/>
                <w:b w:val="0"/>
                <w:sz w:val="15"/>
              </w:rPr>
              <w:t>0.10%</w:t>
            </w:r>
          </w:p>
        </w:tc>
        <w:tc>
          <w:tcPr>
            <w:tcW w:type="dxa" w:w="850"/>
            <w:vAlign w:val="center"/>
          </w:tcPr>
          <w:p>
            <w:pPr>
              <w:jc w:val="right"/>
            </w:pPr>
            <w:r/>
            <w:r>
              <w:rPr>
                <w:rFonts w:ascii="Aptos" w:hAnsi="Aptos"/>
                <w:b w:val="0"/>
                <w:sz w:val="15"/>
              </w:rPr>
              <w:t>36</w:t>
            </w:r>
          </w:p>
        </w:tc>
        <w:tc>
          <w:tcPr>
            <w:tcW w:type="dxa" w:w="1020"/>
            <w:vAlign w:val="center"/>
          </w:tcPr>
          <w:p>
            <w:pPr>
              <w:jc w:val="right"/>
            </w:pPr>
            <w:r/>
            <w:r>
              <w:rPr>
                <w:rFonts w:ascii="Aptos" w:hAnsi="Aptos"/>
                <w:b w:val="0"/>
                <w:sz w:val="15"/>
              </w:rPr>
              <w:t>50</w:t>
            </w:r>
          </w:p>
        </w:tc>
        <w:tc>
          <w:tcPr>
            <w:tcW w:type="dxa" w:w="1020"/>
            <w:vAlign w:val="center"/>
          </w:tcPr>
          <w:p>
            <w:pPr>
              <w:jc w:val="right"/>
            </w:pPr>
            <w:r/>
            <w:r>
              <w:rPr>
                <w:rFonts w:ascii="Aptos" w:hAnsi="Aptos"/>
                <w:b w:val="0"/>
                <w:sz w:val="15"/>
              </w:rPr>
              <w:t>2.00%</w:t>
            </w:r>
          </w:p>
        </w:tc>
      </w:tr>
      <w:tr>
        <w:trPr>
          <w:cantSplit/>
        </w:trPr>
        <w:tc>
          <w:tcPr>
            <w:tcW w:type="dxa" w:w="2721"/>
            <w:vAlign w:val="center"/>
          </w:tcPr>
          <w:p>
            <w:pPr>
              <w:jc w:val="left"/>
            </w:pPr>
            <w:r/>
            <w:r>
              <w:rPr>
                <w:rFonts w:ascii="Aptos" w:hAnsi="Aptos"/>
                <w:b w:val="0"/>
                <w:sz w:val="15"/>
              </w:rPr>
              <w:t>Equity Minimum Variance</w:t>
            </w:r>
          </w:p>
        </w:tc>
        <w:tc>
          <w:tcPr>
            <w:tcW w:type="dxa" w:w="794"/>
            <w:vAlign w:val="center"/>
          </w:tcPr>
          <w:p>
            <w:pPr>
              <w:jc w:val="left"/>
            </w:pPr>
            <w:r/>
            <w:r>
              <w:rPr>
                <w:rFonts w:ascii="Aptos" w:hAnsi="Aptos"/>
                <w:b w:val="0"/>
                <w:sz w:val="15"/>
              </w:rPr>
              <w:t>753</w:t>
            </w:r>
          </w:p>
        </w:tc>
        <w:tc>
          <w:tcPr>
            <w:tcW w:type="dxa" w:w="737"/>
            <w:vAlign w:val="center"/>
          </w:tcPr>
          <w:p>
            <w:pPr>
              <w:jc w:val="right"/>
            </w:pPr>
            <w:r/>
            <w:r>
              <w:rPr>
                <w:rFonts w:ascii="Aptos" w:hAnsi="Aptos"/>
                <w:b w:val="0"/>
                <w:sz w:val="15"/>
              </w:rPr>
              <w:t>252</w:t>
            </w:r>
          </w:p>
        </w:tc>
        <w:tc>
          <w:tcPr>
            <w:tcW w:type="dxa" w:w="1247"/>
            <w:vAlign w:val="center"/>
          </w:tcPr>
          <w:p>
            <w:pPr>
              <w:jc w:val="right"/>
            </w:pPr>
            <w:r/>
            <w:r>
              <w:rPr>
                <w:rFonts w:ascii="Aptos" w:hAnsi="Aptos"/>
                <w:b w:val="0"/>
                <w:sz w:val="15"/>
              </w:rPr>
              <w:t>3.00%</w:t>
            </w:r>
          </w:p>
        </w:tc>
        <w:tc>
          <w:tcPr>
            <w:tcW w:type="dxa" w:w="1247"/>
            <w:vAlign w:val="center"/>
          </w:tcPr>
          <w:p>
            <w:pPr>
              <w:jc w:val="right"/>
            </w:pPr>
            <w:r/>
            <w:r>
              <w:rPr>
                <w:rFonts w:ascii="Aptos" w:hAnsi="Aptos"/>
                <w:b w:val="0"/>
                <w:sz w:val="15"/>
              </w:rPr>
              <w:t>108.04%</w:t>
            </w:r>
          </w:p>
        </w:tc>
        <w:tc>
          <w:tcPr>
            <w:tcW w:type="dxa" w:w="964"/>
            <w:vAlign w:val="center"/>
          </w:tcPr>
          <w:p>
            <w:pPr>
              <w:jc w:val="right"/>
            </w:pPr>
            <w:r/>
            <w:r>
              <w:rPr>
                <w:rFonts w:ascii="Aptos" w:hAnsi="Aptos"/>
                <w:b w:val="0"/>
                <w:sz w:val="15"/>
              </w:rPr>
              <w:t>0.11%</w:t>
            </w:r>
          </w:p>
        </w:tc>
        <w:tc>
          <w:tcPr>
            <w:tcW w:type="dxa" w:w="850"/>
            <w:vAlign w:val="center"/>
          </w:tcPr>
          <w:p>
            <w:pPr>
              <w:jc w:val="right"/>
            </w:pPr>
            <w:r/>
            <w:r>
              <w:rPr>
                <w:rFonts w:ascii="Aptos" w:hAnsi="Aptos"/>
                <w:b w:val="0"/>
                <w:sz w:val="15"/>
              </w:rPr>
              <w:t>36</w:t>
            </w:r>
          </w:p>
        </w:tc>
        <w:tc>
          <w:tcPr>
            <w:tcW w:type="dxa" w:w="1020"/>
            <w:vAlign w:val="center"/>
          </w:tcPr>
          <w:p>
            <w:pPr>
              <w:jc w:val="right"/>
            </w:pPr>
            <w:r/>
            <w:r>
              <w:rPr>
                <w:rFonts w:ascii="Aptos" w:hAnsi="Aptos"/>
                <w:b w:val="0"/>
                <w:sz w:val="15"/>
              </w:rPr>
              <w:t>12</w:t>
            </w:r>
          </w:p>
        </w:tc>
        <w:tc>
          <w:tcPr>
            <w:tcW w:type="dxa" w:w="1020"/>
            <w:vAlign w:val="center"/>
          </w:tcPr>
          <w:p>
            <w:pPr>
              <w:jc w:val="right"/>
            </w:pPr>
            <w:r/>
            <w:r>
              <w:rPr>
                <w:rFonts w:ascii="Aptos" w:hAnsi="Aptos"/>
                <w:b w:val="0"/>
                <w:sz w:val="15"/>
              </w:rPr>
              <w:t>19.82%</w:t>
            </w:r>
          </w:p>
        </w:tc>
      </w:tr>
      <w:tr>
        <w:trPr>
          <w:cantSplit/>
        </w:trPr>
        <w:tc>
          <w:tcPr>
            <w:tcW w:type="dxa" w:w="2721"/>
            <w:vAlign w:val="center"/>
          </w:tcPr>
          <w:p>
            <w:pPr>
              <w:jc w:val="left"/>
            </w:pPr>
            <w:r/>
            <w:r>
              <w:rPr>
                <w:rFonts w:ascii="Aptos" w:hAnsi="Aptos"/>
                <w:b w:val="0"/>
                <w:sz w:val="15"/>
              </w:rPr>
              <w:t>Equity Risk Parity</w:t>
            </w:r>
          </w:p>
        </w:tc>
        <w:tc>
          <w:tcPr>
            <w:tcW w:type="dxa" w:w="794"/>
            <w:vAlign w:val="center"/>
          </w:tcPr>
          <w:p>
            <w:pPr>
              <w:jc w:val="left"/>
            </w:pPr>
            <w:r/>
            <w:r>
              <w:rPr>
                <w:rFonts w:ascii="Aptos" w:hAnsi="Aptos"/>
                <w:b w:val="0"/>
                <w:sz w:val="15"/>
              </w:rPr>
              <w:t>753</w:t>
            </w:r>
          </w:p>
        </w:tc>
        <w:tc>
          <w:tcPr>
            <w:tcW w:type="dxa" w:w="737"/>
            <w:vAlign w:val="center"/>
          </w:tcPr>
          <w:p>
            <w:pPr>
              <w:jc w:val="right"/>
            </w:pPr>
            <w:r/>
            <w:r>
              <w:rPr>
                <w:rFonts w:ascii="Aptos" w:hAnsi="Aptos"/>
                <w:b w:val="0"/>
                <w:sz w:val="15"/>
              </w:rPr>
              <w:t>252</w:t>
            </w:r>
          </w:p>
        </w:tc>
        <w:tc>
          <w:tcPr>
            <w:tcW w:type="dxa" w:w="1247"/>
            <w:vAlign w:val="center"/>
          </w:tcPr>
          <w:p>
            <w:pPr>
              <w:jc w:val="right"/>
            </w:pPr>
            <w:r/>
            <w:r>
              <w:rPr>
                <w:rFonts w:ascii="Aptos" w:hAnsi="Aptos"/>
                <w:b w:val="0"/>
                <w:sz w:val="15"/>
              </w:rPr>
              <w:t>2.51%</w:t>
            </w:r>
          </w:p>
        </w:tc>
        <w:tc>
          <w:tcPr>
            <w:tcW w:type="dxa" w:w="1247"/>
            <w:vAlign w:val="center"/>
          </w:tcPr>
          <w:p>
            <w:pPr>
              <w:jc w:val="right"/>
            </w:pPr>
            <w:r/>
            <w:r>
              <w:rPr>
                <w:rFonts w:ascii="Aptos" w:hAnsi="Aptos"/>
                <w:b w:val="0"/>
                <w:sz w:val="15"/>
              </w:rPr>
              <w:t>90.22%</w:t>
            </w:r>
          </w:p>
        </w:tc>
        <w:tc>
          <w:tcPr>
            <w:tcW w:type="dxa" w:w="964"/>
            <w:vAlign w:val="center"/>
          </w:tcPr>
          <w:p>
            <w:pPr>
              <w:jc w:val="right"/>
            </w:pPr>
            <w:r/>
            <w:r>
              <w:rPr>
                <w:rFonts w:ascii="Aptos" w:hAnsi="Aptos"/>
                <w:b w:val="0"/>
                <w:sz w:val="15"/>
              </w:rPr>
              <w:t>0.09%</w:t>
            </w:r>
          </w:p>
        </w:tc>
        <w:tc>
          <w:tcPr>
            <w:tcW w:type="dxa" w:w="850"/>
            <w:vAlign w:val="center"/>
          </w:tcPr>
          <w:p>
            <w:pPr>
              <w:jc w:val="right"/>
            </w:pPr>
            <w:r/>
            <w:r>
              <w:rPr>
                <w:rFonts w:ascii="Aptos" w:hAnsi="Aptos"/>
                <w:b w:val="0"/>
                <w:sz w:val="15"/>
              </w:rPr>
              <w:t>36</w:t>
            </w:r>
          </w:p>
        </w:tc>
        <w:tc>
          <w:tcPr>
            <w:tcW w:type="dxa" w:w="1020"/>
            <w:vAlign w:val="center"/>
          </w:tcPr>
          <w:p>
            <w:pPr>
              <w:jc w:val="right"/>
            </w:pPr>
            <w:r/>
            <w:r>
              <w:rPr>
                <w:rFonts w:ascii="Aptos" w:hAnsi="Aptos"/>
                <w:b w:val="0"/>
                <w:sz w:val="15"/>
              </w:rPr>
              <w:t>50</w:t>
            </w:r>
          </w:p>
        </w:tc>
        <w:tc>
          <w:tcPr>
            <w:tcW w:type="dxa" w:w="1020"/>
            <w:vAlign w:val="center"/>
          </w:tcPr>
          <w:p>
            <w:pPr>
              <w:jc w:val="right"/>
            </w:pPr>
            <w:r/>
            <w:r>
              <w:rPr>
                <w:rFonts w:ascii="Aptos" w:hAnsi="Aptos"/>
                <w:b w:val="0"/>
                <w:sz w:val="15"/>
              </w:rPr>
              <w:t>3.64%</w:t>
            </w:r>
          </w:p>
        </w:tc>
      </w:tr>
      <w:tr>
        <w:trPr>
          <w:cantSplit/>
        </w:trPr>
        <w:tc>
          <w:tcPr>
            <w:tcW w:type="dxa" w:w="2721"/>
            <w:vAlign w:val="center"/>
          </w:tcPr>
          <w:p>
            <w:pPr>
              <w:jc w:val="left"/>
            </w:pPr>
            <w:r/>
            <w:r>
              <w:rPr>
                <w:rFonts w:ascii="Aptos" w:hAnsi="Aptos"/>
                <w:b w:val="0"/>
                <w:sz w:val="15"/>
              </w:rPr>
              <w:t>Equity Naive Sentiment Tilt</w:t>
            </w:r>
          </w:p>
        </w:tc>
        <w:tc>
          <w:tcPr>
            <w:tcW w:type="dxa" w:w="794"/>
            <w:vAlign w:val="center"/>
          </w:tcPr>
          <w:p>
            <w:pPr>
              <w:jc w:val="left"/>
            </w:pPr>
            <w:r/>
            <w:r>
              <w:rPr>
                <w:rFonts w:ascii="Aptos" w:hAnsi="Aptos"/>
                <w:b w:val="0"/>
                <w:sz w:val="15"/>
              </w:rPr>
              <w:t>753</w:t>
            </w:r>
          </w:p>
        </w:tc>
        <w:tc>
          <w:tcPr>
            <w:tcW w:type="dxa" w:w="737"/>
            <w:vAlign w:val="center"/>
          </w:tcPr>
          <w:p>
            <w:pPr>
              <w:jc w:val="right"/>
            </w:pPr>
            <w:r/>
            <w:r>
              <w:rPr>
                <w:rFonts w:ascii="Aptos" w:hAnsi="Aptos"/>
                <w:b w:val="0"/>
                <w:sz w:val="15"/>
              </w:rPr>
              <w:t>252</w:t>
            </w:r>
          </w:p>
        </w:tc>
        <w:tc>
          <w:tcPr>
            <w:tcW w:type="dxa" w:w="1247"/>
            <w:vAlign w:val="center"/>
          </w:tcPr>
          <w:p>
            <w:pPr>
              <w:jc w:val="right"/>
            </w:pPr>
            <w:r/>
            <w:r>
              <w:rPr>
                <w:rFonts w:ascii="Aptos" w:hAnsi="Aptos"/>
                <w:b w:val="0"/>
                <w:sz w:val="15"/>
              </w:rPr>
              <w:t>5.47%</w:t>
            </w:r>
          </w:p>
        </w:tc>
        <w:tc>
          <w:tcPr>
            <w:tcW w:type="dxa" w:w="1247"/>
            <w:vAlign w:val="center"/>
          </w:tcPr>
          <w:p>
            <w:pPr>
              <w:jc w:val="right"/>
            </w:pPr>
            <w:r/>
            <w:r>
              <w:rPr>
                <w:rFonts w:ascii="Aptos" w:hAnsi="Aptos"/>
                <w:b w:val="0"/>
                <w:sz w:val="15"/>
              </w:rPr>
              <w:t>196.92%</w:t>
            </w:r>
          </w:p>
        </w:tc>
        <w:tc>
          <w:tcPr>
            <w:tcW w:type="dxa" w:w="964"/>
            <w:vAlign w:val="center"/>
          </w:tcPr>
          <w:p>
            <w:pPr>
              <w:jc w:val="right"/>
            </w:pPr>
            <w:r/>
            <w:r>
              <w:rPr>
                <w:rFonts w:ascii="Aptos" w:hAnsi="Aptos"/>
                <w:b w:val="0"/>
                <w:sz w:val="15"/>
              </w:rPr>
              <w:t>0.20%</w:t>
            </w:r>
          </w:p>
        </w:tc>
        <w:tc>
          <w:tcPr>
            <w:tcW w:type="dxa" w:w="850"/>
            <w:vAlign w:val="center"/>
          </w:tcPr>
          <w:p>
            <w:pPr>
              <w:jc w:val="right"/>
            </w:pPr>
            <w:r/>
            <w:r>
              <w:rPr>
                <w:rFonts w:ascii="Aptos" w:hAnsi="Aptos"/>
                <w:b w:val="0"/>
                <w:sz w:val="15"/>
              </w:rPr>
              <w:t>36</w:t>
            </w:r>
          </w:p>
        </w:tc>
        <w:tc>
          <w:tcPr>
            <w:tcW w:type="dxa" w:w="1020"/>
            <w:vAlign w:val="center"/>
          </w:tcPr>
          <w:p>
            <w:pPr>
              <w:jc w:val="right"/>
            </w:pPr>
            <w:r/>
            <w:r>
              <w:rPr>
                <w:rFonts w:ascii="Aptos" w:hAnsi="Aptos"/>
                <w:b w:val="0"/>
                <w:sz w:val="15"/>
              </w:rPr>
              <w:t>50</w:t>
            </w:r>
          </w:p>
        </w:tc>
        <w:tc>
          <w:tcPr>
            <w:tcW w:type="dxa" w:w="1020"/>
            <w:vAlign w:val="center"/>
          </w:tcPr>
          <w:p>
            <w:pPr>
              <w:jc w:val="right"/>
            </w:pPr>
            <w:r/>
            <w:r>
              <w:rPr>
                <w:rFonts w:ascii="Aptos" w:hAnsi="Aptos"/>
                <w:b w:val="0"/>
                <w:sz w:val="15"/>
              </w:rPr>
              <w:t>2.60%</w:t>
            </w:r>
          </w:p>
        </w:tc>
      </w:tr>
      <w:tr>
        <w:trPr>
          <w:cantSplit/>
        </w:trPr>
        <w:tc>
          <w:tcPr>
            <w:tcW w:type="dxa" w:w="2721"/>
            <w:vAlign w:val="center"/>
          </w:tcPr>
          <w:p>
            <w:pPr>
              <w:jc w:val="left"/>
            </w:pPr>
            <w:r/>
            <w:r>
              <w:rPr>
                <w:rFonts w:ascii="Aptos" w:hAnsi="Aptos"/>
                <w:b w:val="0"/>
                <w:sz w:val="15"/>
              </w:rPr>
              <w:t>Equity Coverage-Gated Sentiment Tilt</w:t>
            </w:r>
          </w:p>
        </w:tc>
        <w:tc>
          <w:tcPr>
            <w:tcW w:type="dxa" w:w="794"/>
            <w:vAlign w:val="center"/>
          </w:tcPr>
          <w:p>
            <w:pPr>
              <w:jc w:val="left"/>
            </w:pPr>
            <w:r/>
            <w:r>
              <w:rPr>
                <w:rFonts w:ascii="Aptos" w:hAnsi="Aptos"/>
                <w:b w:val="0"/>
                <w:sz w:val="15"/>
              </w:rPr>
              <w:t>753</w:t>
            </w:r>
          </w:p>
        </w:tc>
        <w:tc>
          <w:tcPr>
            <w:tcW w:type="dxa" w:w="737"/>
            <w:vAlign w:val="center"/>
          </w:tcPr>
          <w:p>
            <w:pPr>
              <w:jc w:val="right"/>
            </w:pPr>
            <w:r/>
            <w:r>
              <w:rPr>
                <w:rFonts w:ascii="Aptos" w:hAnsi="Aptos"/>
                <w:b w:val="0"/>
                <w:sz w:val="15"/>
              </w:rPr>
              <w:t>252</w:t>
            </w:r>
          </w:p>
        </w:tc>
        <w:tc>
          <w:tcPr>
            <w:tcW w:type="dxa" w:w="1247"/>
            <w:vAlign w:val="center"/>
          </w:tcPr>
          <w:p>
            <w:pPr>
              <w:jc w:val="right"/>
            </w:pPr>
            <w:r/>
            <w:r>
              <w:rPr>
                <w:rFonts w:ascii="Aptos" w:hAnsi="Aptos"/>
                <w:b w:val="0"/>
                <w:sz w:val="15"/>
              </w:rPr>
              <w:t>4.74%</w:t>
            </w:r>
          </w:p>
        </w:tc>
        <w:tc>
          <w:tcPr>
            <w:tcW w:type="dxa" w:w="1247"/>
            <w:vAlign w:val="center"/>
          </w:tcPr>
          <w:p>
            <w:pPr>
              <w:jc w:val="right"/>
            </w:pPr>
            <w:r/>
            <w:r>
              <w:rPr>
                <w:rFonts w:ascii="Aptos" w:hAnsi="Aptos"/>
                <w:b w:val="0"/>
                <w:sz w:val="15"/>
              </w:rPr>
              <w:t>170.57%</w:t>
            </w:r>
          </w:p>
        </w:tc>
        <w:tc>
          <w:tcPr>
            <w:tcW w:type="dxa" w:w="964"/>
            <w:vAlign w:val="center"/>
          </w:tcPr>
          <w:p>
            <w:pPr>
              <w:jc w:val="right"/>
            </w:pPr>
            <w:r/>
            <w:r>
              <w:rPr>
                <w:rFonts w:ascii="Aptos" w:hAnsi="Aptos"/>
                <w:b w:val="0"/>
                <w:sz w:val="15"/>
              </w:rPr>
              <w:t>0.17%</w:t>
            </w:r>
          </w:p>
        </w:tc>
        <w:tc>
          <w:tcPr>
            <w:tcW w:type="dxa" w:w="850"/>
            <w:vAlign w:val="center"/>
          </w:tcPr>
          <w:p>
            <w:pPr>
              <w:jc w:val="right"/>
            </w:pPr>
            <w:r/>
            <w:r>
              <w:rPr>
                <w:rFonts w:ascii="Aptos" w:hAnsi="Aptos"/>
                <w:b w:val="0"/>
                <w:sz w:val="15"/>
              </w:rPr>
              <w:t>36</w:t>
            </w:r>
          </w:p>
        </w:tc>
        <w:tc>
          <w:tcPr>
            <w:tcW w:type="dxa" w:w="1020"/>
            <w:vAlign w:val="center"/>
          </w:tcPr>
          <w:p>
            <w:pPr>
              <w:jc w:val="right"/>
            </w:pPr>
            <w:r/>
            <w:r>
              <w:rPr>
                <w:rFonts w:ascii="Aptos" w:hAnsi="Aptos"/>
                <w:b w:val="0"/>
                <w:sz w:val="15"/>
              </w:rPr>
              <w:t>50</w:t>
            </w:r>
          </w:p>
        </w:tc>
        <w:tc>
          <w:tcPr>
            <w:tcW w:type="dxa" w:w="1020"/>
            <w:vAlign w:val="center"/>
          </w:tcPr>
          <w:p>
            <w:pPr>
              <w:jc w:val="right"/>
            </w:pPr>
            <w:r/>
            <w:r>
              <w:rPr>
                <w:rFonts w:ascii="Aptos" w:hAnsi="Aptos"/>
                <w:b w:val="0"/>
                <w:sz w:val="15"/>
              </w:rPr>
              <w:t>2.46%</w:t>
            </w:r>
          </w:p>
        </w:tc>
      </w:tr>
      <w:tr>
        <w:trPr>
          <w:cantSplit/>
        </w:trPr>
        <w:tc>
          <w:tcPr>
            <w:tcW w:type="dxa" w:w="2721"/>
            <w:vAlign w:val="center"/>
          </w:tcPr>
          <w:p>
            <w:pPr>
              <w:jc w:val="left"/>
            </w:pPr>
            <w:r/>
            <w:r>
              <w:rPr>
                <w:rFonts w:ascii="Aptos" w:hAnsi="Aptos"/>
                <w:b w:val="0"/>
                <w:sz w:val="15"/>
              </w:rPr>
              <w:t>Crypto Equal Weight</w:t>
            </w:r>
          </w:p>
        </w:tc>
        <w:tc>
          <w:tcPr>
            <w:tcW w:type="dxa" w:w="794"/>
            <w:vAlign w:val="center"/>
          </w:tcPr>
          <w:p>
            <w:pPr>
              <w:jc w:val="left"/>
            </w:pPr>
            <w:r/>
            <w:r>
              <w:rPr>
                <w:rFonts w:ascii="Aptos" w:hAnsi="Aptos"/>
                <w:b w:val="0"/>
                <w:sz w:val="15"/>
              </w:rPr>
              <w:t>1095</w:t>
            </w:r>
          </w:p>
        </w:tc>
        <w:tc>
          <w:tcPr>
            <w:tcW w:type="dxa" w:w="737"/>
            <w:vAlign w:val="center"/>
          </w:tcPr>
          <w:p>
            <w:pPr>
              <w:jc w:val="right"/>
            </w:pPr>
            <w:r/>
            <w:r>
              <w:rPr>
                <w:rFonts w:ascii="Aptos" w:hAnsi="Aptos"/>
                <w:b w:val="0"/>
                <w:sz w:val="15"/>
              </w:rPr>
              <w:t>365</w:t>
            </w:r>
          </w:p>
        </w:tc>
        <w:tc>
          <w:tcPr>
            <w:tcW w:type="dxa" w:w="1247"/>
            <w:vAlign w:val="center"/>
          </w:tcPr>
          <w:p>
            <w:pPr>
              <w:jc w:val="right"/>
            </w:pPr>
            <w:r/>
            <w:r>
              <w:rPr>
                <w:rFonts w:ascii="Aptos" w:hAnsi="Aptos"/>
                <w:b w:val="0"/>
                <w:sz w:val="15"/>
              </w:rPr>
              <w:t>5.78%</w:t>
            </w:r>
          </w:p>
        </w:tc>
        <w:tc>
          <w:tcPr>
            <w:tcW w:type="dxa" w:w="1247"/>
            <w:vAlign w:val="center"/>
          </w:tcPr>
          <w:p>
            <w:pPr>
              <w:jc w:val="right"/>
            </w:pPr>
            <w:r/>
            <w:r>
              <w:rPr>
                <w:rFonts w:ascii="Aptos" w:hAnsi="Aptos"/>
                <w:b w:val="0"/>
                <w:sz w:val="15"/>
              </w:rPr>
              <w:t>208.23%</w:t>
            </w:r>
          </w:p>
        </w:tc>
        <w:tc>
          <w:tcPr>
            <w:tcW w:type="dxa" w:w="964"/>
            <w:vAlign w:val="center"/>
          </w:tcPr>
          <w:p>
            <w:pPr>
              <w:jc w:val="right"/>
            </w:pPr>
            <w:r/>
            <w:r>
              <w:rPr>
                <w:rFonts w:ascii="Aptos" w:hAnsi="Aptos"/>
                <w:b w:val="0"/>
                <w:sz w:val="15"/>
              </w:rPr>
              <w:t>0.21%</w:t>
            </w:r>
          </w:p>
        </w:tc>
        <w:tc>
          <w:tcPr>
            <w:tcW w:type="dxa" w:w="850"/>
            <w:vAlign w:val="center"/>
          </w:tcPr>
          <w:p>
            <w:pPr>
              <w:jc w:val="right"/>
            </w:pPr>
            <w:r/>
            <w:r>
              <w:rPr>
                <w:rFonts w:ascii="Aptos" w:hAnsi="Aptos"/>
                <w:b w:val="0"/>
                <w:sz w:val="15"/>
              </w:rPr>
              <w:t>36</w:t>
            </w:r>
          </w:p>
        </w:tc>
        <w:tc>
          <w:tcPr>
            <w:tcW w:type="dxa" w:w="1020"/>
            <w:vAlign w:val="center"/>
          </w:tcPr>
          <w:p>
            <w:pPr>
              <w:jc w:val="right"/>
            </w:pPr>
            <w:r/>
            <w:r>
              <w:rPr>
                <w:rFonts w:ascii="Aptos" w:hAnsi="Aptos"/>
                <w:b w:val="0"/>
                <w:sz w:val="15"/>
              </w:rPr>
              <w:t>10</w:t>
            </w:r>
          </w:p>
        </w:tc>
        <w:tc>
          <w:tcPr>
            <w:tcW w:type="dxa" w:w="1020"/>
            <w:vAlign w:val="center"/>
          </w:tcPr>
          <w:p>
            <w:pPr>
              <w:jc w:val="right"/>
            </w:pPr>
            <w:r/>
            <w:r>
              <w:rPr>
                <w:rFonts w:ascii="Aptos" w:hAnsi="Aptos"/>
                <w:b w:val="0"/>
                <w:sz w:val="15"/>
              </w:rPr>
              <w:t>10.00%</w:t>
            </w:r>
          </w:p>
        </w:tc>
      </w:tr>
      <w:tr>
        <w:trPr>
          <w:cantSplit/>
        </w:trPr>
        <w:tc>
          <w:tcPr>
            <w:tcW w:type="dxa" w:w="2721"/>
            <w:vAlign w:val="center"/>
          </w:tcPr>
          <w:p>
            <w:pPr>
              <w:jc w:val="left"/>
            </w:pPr>
            <w:r/>
            <w:r>
              <w:rPr>
                <w:rFonts w:ascii="Aptos" w:hAnsi="Aptos"/>
                <w:b w:val="0"/>
                <w:sz w:val="15"/>
              </w:rPr>
              <w:t>Crypto Minimum Variance</w:t>
            </w:r>
          </w:p>
        </w:tc>
        <w:tc>
          <w:tcPr>
            <w:tcW w:type="dxa" w:w="794"/>
            <w:vAlign w:val="center"/>
          </w:tcPr>
          <w:p>
            <w:pPr>
              <w:jc w:val="left"/>
            </w:pPr>
            <w:r/>
            <w:r>
              <w:rPr>
                <w:rFonts w:ascii="Aptos" w:hAnsi="Aptos"/>
                <w:b w:val="0"/>
                <w:sz w:val="15"/>
              </w:rPr>
              <w:t>1095</w:t>
            </w:r>
          </w:p>
        </w:tc>
        <w:tc>
          <w:tcPr>
            <w:tcW w:type="dxa" w:w="737"/>
            <w:vAlign w:val="center"/>
          </w:tcPr>
          <w:p>
            <w:pPr>
              <w:jc w:val="right"/>
            </w:pPr>
            <w:r/>
            <w:r>
              <w:rPr>
                <w:rFonts w:ascii="Aptos" w:hAnsi="Aptos"/>
                <w:b w:val="0"/>
                <w:sz w:val="15"/>
              </w:rPr>
              <w:t>365</w:t>
            </w:r>
          </w:p>
        </w:tc>
        <w:tc>
          <w:tcPr>
            <w:tcW w:type="dxa" w:w="1247"/>
            <w:vAlign w:val="center"/>
          </w:tcPr>
          <w:p>
            <w:pPr>
              <w:jc w:val="right"/>
            </w:pPr>
            <w:r/>
            <w:r>
              <w:rPr>
                <w:rFonts w:ascii="Aptos" w:hAnsi="Aptos"/>
                <w:b w:val="0"/>
                <w:sz w:val="15"/>
              </w:rPr>
              <w:t>6.75%</w:t>
            </w:r>
          </w:p>
        </w:tc>
        <w:tc>
          <w:tcPr>
            <w:tcW w:type="dxa" w:w="1247"/>
            <w:vAlign w:val="center"/>
          </w:tcPr>
          <w:p>
            <w:pPr>
              <w:jc w:val="right"/>
            </w:pPr>
            <w:r/>
            <w:r>
              <w:rPr>
                <w:rFonts w:ascii="Aptos" w:hAnsi="Aptos"/>
                <w:b w:val="0"/>
                <w:sz w:val="15"/>
              </w:rPr>
              <w:t>243.10%</w:t>
            </w:r>
          </w:p>
        </w:tc>
        <w:tc>
          <w:tcPr>
            <w:tcW w:type="dxa" w:w="964"/>
            <w:vAlign w:val="center"/>
          </w:tcPr>
          <w:p>
            <w:pPr>
              <w:jc w:val="right"/>
            </w:pPr>
            <w:r/>
            <w:r>
              <w:rPr>
                <w:rFonts w:ascii="Aptos" w:hAnsi="Aptos"/>
                <w:b w:val="0"/>
                <w:sz w:val="15"/>
              </w:rPr>
              <w:t>0.24%</w:t>
            </w:r>
          </w:p>
        </w:tc>
        <w:tc>
          <w:tcPr>
            <w:tcW w:type="dxa" w:w="850"/>
            <w:vAlign w:val="center"/>
          </w:tcPr>
          <w:p>
            <w:pPr>
              <w:jc w:val="right"/>
            </w:pPr>
            <w:r/>
            <w:r>
              <w:rPr>
                <w:rFonts w:ascii="Aptos" w:hAnsi="Aptos"/>
                <w:b w:val="0"/>
                <w:sz w:val="15"/>
              </w:rPr>
              <w:t>36</w:t>
            </w:r>
          </w:p>
        </w:tc>
        <w:tc>
          <w:tcPr>
            <w:tcW w:type="dxa" w:w="1020"/>
            <w:vAlign w:val="center"/>
          </w:tcPr>
          <w:p>
            <w:pPr>
              <w:jc w:val="right"/>
            </w:pPr>
            <w:r/>
            <w:r>
              <w:rPr>
                <w:rFonts w:ascii="Aptos" w:hAnsi="Aptos"/>
                <w:b w:val="0"/>
                <w:sz w:val="15"/>
              </w:rPr>
              <w:t>8</w:t>
            </w:r>
          </w:p>
        </w:tc>
        <w:tc>
          <w:tcPr>
            <w:tcW w:type="dxa" w:w="1020"/>
            <w:vAlign w:val="center"/>
          </w:tcPr>
          <w:p>
            <w:pPr>
              <w:jc w:val="right"/>
            </w:pPr>
            <w:r/>
            <w:r>
              <w:rPr>
                <w:rFonts w:ascii="Aptos" w:hAnsi="Aptos"/>
                <w:b w:val="0"/>
                <w:sz w:val="15"/>
              </w:rPr>
              <w:t>20.00%</w:t>
            </w:r>
          </w:p>
        </w:tc>
      </w:tr>
      <w:tr>
        <w:trPr>
          <w:cantSplit/>
        </w:trPr>
        <w:tc>
          <w:tcPr>
            <w:tcW w:type="dxa" w:w="2721"/>
            <w:vAlign w:val="center"/>
          </w:tcPr>
          <w:p>
            <w:pPr>
              <w:jc w:val="left"/>
            </w:pPr>
            <w:r/>
            <w:r>
              <w:rPr>
                <w:rFonts w:ascii="Aptos" w:hAnsi="Aptos"/>
                <w:b w:val="0"/>
                <w:sz w:val="15"/>
              </w:rPr>
              <w:t>Crypto Risk Parity</w:t>
            </w:r>
          </w:p>
        </w:tc>
        <w:tc>
          <w:tcPr>
            <w:tcW w:type="dxa" w:w="794"/>
            <w:vAlign w:val="center"/>
          </w:tcPr>
          <w:p>
            <w:pPr>
              <w:jc w:val="left"/>
            </w:pPr>
            <w:r/>
            <w:r>
              <w:rPr>
                <w:rFonts w:ascii="Aptos" w:hAnsi="Aptos"/>
                <w:b w:val="0"/>
                <w:sz w:val="15"/>
              </w:rPr>
              <w:t>1095</w:t>
            </w:r>
          </w:p>
        </w:tc>
        <w:tc>
          <w:tcPr>
            <w:tcW w:type="dxa" w:w="737"/>
            <w:vAlign w:val="center"/>
          </w:tcPr>
          <w:p>
            <w:pPr>
              <w:jc w:val="right"/>
            </w:pPr>
            <w:r/>
            <w:r>
              <w:rPr>
                <w:rFonts w:ascii="Aptos" w:hAnsi="Aptos"/>
                <w:b w:val="0"/>
                <w:sz w:val="15"/>
              </w:rPr>
              <w:t>365</w:t>
            </w:r>
          </w:p>
        </w:tc>
        <w:tc>
          <w:tcPr>
            <w:tcW w:type="dxa" w:w="1247"/>
            <w:vAlign w:val="center"/>
          </w:tcPr>
          <w:p>
            <w:pPr>
              <w:jc w:val="right"/>
            </w:pPr>
            <w:r/>
            <w:r>
              <w:rPr>
                <w:rFonts w:ascii="Aptos" w:hAnsi="Aptos"/>
                <w:b w:val="0"/>
                <w:sz w:val="15"/>
              </w:rPr>
              <w:t>5.83%</w:t>
            </w:r>
          </w:p>
        </w:tc>
        <w:tc>
          <w:tcPr>
            <w:tcW w:type="dxa" w:w="1247"/>
            <w:vAlign w:val="center"/>
          </w:tcPr>
          <w:p>
            <w:pPr>
              <w:jc w:val="right"/>
            </w:pPr>
            <w:r/>
            <w:r>
              <w:rPr>
                <w:rFonts w:ascii="Aptos" w:hAnsi="Aptos"/>
                <w:b w:val="0"/>
                <w:sz w:val="15"/>
              </w:rPr>
              <w:t>209.94%</w:t>
            </w:r>
          </w:p>
        </w:tc>
        <w:tc>
          <w:tcPr>
            <w:tcW w:type="dxa" w:w="964"/>
            <w:vAlign w:val="center"/>
          </w:tcPr>
          <w:p>
            <w:pPr>
              <w:jc w:val="right"/>
            </w:pPr>
            <w:r/>
            <w:r>
              <w:rPr>
                <w:rFonts w:ascii="Aptos" w:hAnsi="Aptos"/>
                <w:b w:val="0"/>
                <w:sz w:val="15"/>
              </w:rPr>
              <w:t>0.21%</w:t>
            </w:r>
          </w:p>
        </w:tc>
        <w:tc>
          <w:tcPr>
            <w:tcW w:type="dxa" w:w="850"/>
            <w:vAlign w:val="center"/>
          </w:tcPr>
          <w:p>
            <w:pPr>
              <w:jc w:val="right"/>
            </w:pPr>
            <w:r/>
            <w:r>
              <w:rPr>
                <w:rFonts w:ascii="Aptos" w:hAnsi="Aptos"/>
                <w:b w:val="0"/>
                <w:sz w:val="15"/>
              </w:rPr>
              <w:t>36</w:t>
            </w:r>
          </w:p>
        </w:tc>
        <w:tc>
          <w:tcPr>
            <w:tcW w:type="dxa" w:w="1020"/>
            <w:vAlign w:val="center"/>
          </w:tcPr>
          <w:p>
            <w:pPr>
              <w:jc w:val="right"/>
            </w:pPr>
            <w:r/>
            <w:r>
              <w:rPr>
                <w:rFonts w:ascii="Aptos" w:hAnsi="Aptos"/>
                <w:b w:val="0"/>
                <w:sz w:val="15"/>
              </w:rPr>
              <w:t>10</w:t>
            </w:r>
          </w:p>
        </w:tc>
        <w:tc>
          <w:tcPr>
            <w:tcW w:type="dxa" w:w="1020"/>
            <w:vAlign w:val="center"/>
          </w:tcPr>
          <w:p>
            <w:pPr>
              <w:jc w:val="right"/>
            </w:pPr>
            <w:r/>
            <w:r>
              <w:rPr>
                <w:rFonts w:ascii="Aptos" w:hAnsi="Aptos"/>
                <w:b w:val="0"/>
                <w:sz w:val="15"/>
              </w:rPr>
              <w:t>14.32%</w:t>
            </w:r>
          </w:p>
        </w:tc>
      </w:tr>
      <w:tr>
        <w:trPr>
          <w:cantSplit/>
        </w:trPr>
        <w:tc>
          <w:tcPr>
            <w:tcW w:type="dxa" w:w="2721"/>
            <w:vAlign w:val="center"/>
          </w:tcPr>
          <w:p>
            <w:pPr>
              <w:jc w:val="left"/>
            </w:pPr>
            <w:r/>
            <w:r>
              <w:rPr>
                <w:rFonts w:ascii="Aptos" w:hAnsi="Aptos"/>
                <w:b w:val="0"/>
                <w:sz w:val="15"/>
              </w:rPr>
              <w:t>Combined Equal Weight</w:t>
            </w:r>
          </w:p>
        </w:tc>
        <w:tc>
          <w:tcPr>
            <w:tcW w:type="dxa" w:w="794"/>
            <w:vAlign w:val="center"/>
          </w:tcPr>
          <w:p>
            <w:pPr>
              <w:jc w:val="left"/>
            </w:pPr>
            <w:r/>
            <w:r>
              <w:rPr>
                <w:rFonts w:ascii="Aptos" w:hAnsi="Aptos"/>
                <w:b w:val="0"/>
                <w:sz w:val="15"/>
              </w:rPr>
              <w:t>753</w:t>
            </w:r>
          </w:p>
        </w:tc>
        <w:tc>
          <w:tcPr>
            <w:tcW w:type="dxa" w:w="737"/>
            <w:vAlign w:val="center"/>
          </w:tcPr>
          <w:p>
            <w:pPr>
              <w:jc w:val="right"/>
            </w:pPr>
            <w:r/>
            <w:r>
              <w:rPr>
                <w:rFonts w:ascii="Aptos" w:hAnsi="Aptos"/>
                <w:b w:val="0"/>
                <w:sz w:val="15"/>
              </w:rPr>
              <w:t>252</w:t>
            </w:r>
          </w:p>
        </w:tc>
        <w:tc>
          <w:tcPr>
            <w:tcW w:type="dxa" w:w="1247"/>
            <w:vAlign w:val="center"/>
          </w:tcPr>
          <w:p>
            <w:pPr>
              <w:jc w:val="right"/>
            </w:pPr>
            <w:r/>
            <w:r>
              <w:rPr>
                <w:rFonts w:ascii="Aptos" w:hAnsi="Aptos"/>
                <w:b w:val="0"/>
                <w:sz w:val="15"/>
              </w:rPr>
              <w:t>3.75%</w:t>
            </w:r>
          </w:p>
        </w:tc>
        <w:tc>
          <w:tcPr>
            <w:tcW w:type="dxa" w:w="1247"/>
            <w:vAlign w:val="center"/>
          </w:tcPr>
          <w:p>
            <w:pPr>
              <w:jc w:val="right"/>
            </w:pPr>
            <w:r/>
            <w:r>
              <w:rPr>
                <w:rFonts w:ascii="Aptos" w:hAnsi="Aptos"/>
                <w:b w:val="0"/>
                <w:sz w:val="15"/>
              </w:rPr>
              <w:t>135.00%</w:t>
            </w:r>
          </w:p>
        </w:tc>
        <w:tc>
          <w:tcPr>
            <w:tcW w:type="dxa" w:w="964"/>
            <w:vAlign w:val="center"/>
          </w:tcPr>
          <w:p>
            <w:pPr>
              <w:jc w:val="right"/>
            </w:pPr>
            <w:r/>
            <w:r>
              <w:rPr>
                <w:rFonts w:ascii="Aptos" w:hAnsi="Aptos"/>
                <w:b w:val="0"/>
                <w:sz w:val="15"/>
              </w:rPr>
              <w:t>0.14%</w:t>
            </w:r>
          </w:p>
        </w:tc>
        <w:tc>
          <w:tcPr>
            <w:tcW w:type="dxa" w:w="850"/>
            <w:vAlign w:val="center"/>
          </w:tcPr>
          <w:p>
            <w:pPr>
              <w:jc w:val="right"/>
            </w:pPr>
            <w:r/>
            <w:r>
              <w:rPr>
                <w:rFonts w:ascii="Aptos" w:hAnsi="Aptos"/>
                <w:b w:val="0"/>
                <w:sz w:val="15"/>
              </w:rPr>
              <w:t>36</w:t>
            </w:r>
          </w:p>
        </w:tc>
        <w:tc>
          <w:tcPr>
            <w:tcW w:type="dxa" w:w="1020"/>
            <w:vAlign w:val="center"/>
          </w:tcPr>
          <w:p>
            <w:pPr>
              <w:jc w:val="right"/>
            </w:pPr>
            <w:r/>
            <w:r>
              <w:rPr>
                <w:rFonts w:ascii="Aptos" w:hAnsi="Aptos"/>
                <w:b w:val="0"/>
                <w:sz w:val="15"/>
              </w:rPr>
              <w:t>60</w:t>
            </w:r>
          </w:p>
        </w:tc>
        <w:tc>
          <w:tcPr>
            <w:tcW w:type="dxa" w:w="1020"/>
            <w:vAlign w:val="center"/>
          </w:tcPr>
          <w:p>
            <w:pPr>
              <w:jc w:val="right"/>
            </w:pPr>
            <w:r/>
            <w:r>
              <w:rPr>
                <w:rFonts w:ascii="Aptos" w:hAnsi="Aptos"/>
                <w:b w:val="0"/>
                <w:sz w:val="15"/>
              </w:rPr>
              <w:t>1.67%</w:t>
            </w:r>
          </w:p>
        </w:tc>
      </w:tr>
      <w:tr>
        <w:trPr>
          <w:cantSplit/>
        </w:trPr>
        <w:tc>
          <w:tcPr>
            <w:tcW w:type="dxa" w:w="2721"/>
            <w:vAlign w:val="center"/>
          </w:tcPr>
          <w:p>
            <w:pPr>
              <w:jc w:val="left"/>
            </w:pPr>
            <w:r/>
            <w:r>
              <w:rPr>
                <w:rFonts w:ascii="Aptos" w:hAnsi="Aptos"/>
                <w:b w:val="0"/>
                <w:sz w:val="15"/>
              </w:rPr>
              <w:t>Combined Minimum Variance</w:t>
            </w:r>
          </w:p>
        </w:tc>
        <w:tc>
          <w:tcPr>
            <w:tcW w:type="dxa" w:w="794"/>
            <w:vAlign w:val="center"/>
          </w:tcPr>
          <w:p>
            <w:pPr>
              <w:jc w:val="left"/>
            </w:pPr>
            <w:r/>
            <w:r>
              <w:rPr>
                <w:rFonts w:ascii="Aptos" w:hAnsi="Aptos"/>
                <w:b w:val="0"/>
                <w:sz w:val="15"/>
              </w:rPr>
              <w:t>753</w:t>
            </w:r>
          </w:p>
        </w:tc>
        <w:tc>
          <w:tcPr>
            <w:tcW w:type="dxa" w:w="737"/>
            <w:vAlign w:val="center"/>
          </w:tcPr>
          <w:p>
            <w:pPr>
              <w:jc w:val="right"/>
            </w:pPr>
            <w:r/>
            <w:r>
              <w:rPr>
                <w:rFonts w:ascii="Aptos" w:hAnsi="Aptos"/>
                <w:b w:val="0"/>
                <w:sz w:val="15"/>
              </w:rPr>
              <w:t>252</w:t>
            </w:r>
          </w:p>
        </w:tc>
        <w:tc>
          <w:tcPr>
            <w:tcW w:type="dxa" w:w="1247"/>
            <w:vAlign w:val="center"/>
          </w:tcPr>
          <w:p>
            <w:pPr>
              <w:jc w:val="right"/>
            </w:pPr>
            <w:r/>
            <w:r>
              <w:rPr>
                <w:rFonts w:ascii="Aptos" w:hAnsi="Aptos"/>
                <w:b w:val="0"/>
                <w:sz w:val="15"/>
              </w:rPr>
              <w:t>3.00%</w:t>
            </w:r>
          </w:p>
        </w:tc>
        <w:tc>
          <w:tcPr>
            <w:tcW w:type="dxa" w:w="1247"/>
            <w:vAlign w:val="center"/>
          </w:tcPr>
          <w:p>
            <w:pPr>
              <w:jc w:val="right"/>
            </w:pPr>
            <w:r/>
            <w:r>
              <w:rPr>
                <w:rFonts w:ascii="Aptos" w:hAnsi="Aptos"/>
                <w:b w:val="0"/>
                <w:sz w:val="15"/>
              </w:rPr>
              <w:t>107.93%</w:t>
            </w:r>
          </w:p>
        </w:tc>
        <w:tc>
          <w:tcPr>
            <w:tcW w:type="dxa" w:w="964"/>
            <w:vAlign w:val="center"/>
          </w:tcPr>
          <w:p>
            <w:pPr>
              <w:jc w:val="right"/>
            </w:pPr>
            <w:r/>
            <w:r>
              <w:rPr>
                <w:rFonts w:ascii="Aptos" w:hAnsi="Aptos"/>
                <w:b w:val="0"/>
                <w:sz w:val="15"/>
              </w:rPr>
              <w:t>0.11%</w:t>
            </w:r>
          </w:p>
        </w:tc>
        <w:tc>
          <w:tcPr>
            <w:tcW w:type="dxa" w:w="850"/>
            <w:vAlign w:val="center"/>
          </w:tcPr>
          <w:p>
            <w:pPr>
              <w:jc w:val="right"/>
            </w:pPr>
            <w:r/>
            <w:r>
              <w:rPr>
                <w:rFonts w:ascii="Aptos" w:hAnsi="Aptos"/>
                <w:b w:val="0"/>
                <w:sz w:val="15"/>
              </w:rPr>
              <w:t>36</w:t>
            </w:r>
          </w:p>
        </w:tc>
        <w:tc>
          <w:tcPr>
            <w:tcW w:type="dxa" w:w="1020"/>
            <w:vAlign w:val="center"/>
          </w:tcPr>
          <w:p>
            <w:pPr>
              <w:jc w:val="right"/>
            </w:pPr>
            <w:r/>
            <w:r>
              <w:rPr>
                <w:rFonts w:ascii="Aptos" w:hAnsi="Aptos"/>
                <w:b w:val="0"/>
                <w:sz w:val="15"/>
              </w:rPr>
              <w:t>12</w:t>
            </w:r>
          </w:p>
        </w:tc>
        <w:tc>
          <w:tcPr>
            <w:tcW w:type="dxa" w:w="1020"/>
            <w:vAlign w:val="center"/>
          </w:tcPr>
          <w:p>
            <w:pPr>
              <w:jc w:val="right"/>
            </w:pPr>
            <w:r/>
            <w:r>
              <w:rPr>
                <w:rFonts w:ascii="Aptos" w:hAnsi="Aptos"/>
                <w:b w:val="0"/>
                <w:sz w:val="15"/>
              </w:rPr>
              <w:t>19.84%</w:t>
            </w:r>
          </w:p>
        </w:tc>
      </w:tr>
      <w:tr>
        <w:trPr>
          <w:cantSplit/>
        </w:trPr>
        <w:tc>
          <w:tcPr>
            <w:tcW w:type="dxa" w:w="2721"/>
            <w:vAlign w:val="center"/>
          </w:tcPr>
          <w:p>
            <w:pPr>
              <w:jc w:val="left"/>
            </w:pPr>
            <w:r/>
            <w:r>
              <w:rPr>
                <w:rFonts w:ascii="Aptos" w:hAnsi="Aptos"/>
                <w:b w:val="0"/>
                <w:sz w:val="15"/>
              </w:rPr>
              <w:t>Combined Risk Parity</w:t>
            </w:r>
          </w:p>
        </w:tc>
        <w:tc>
          <w:tcPr>
            <w:tcW w:type="dxa" w:w="794"/>
            <w:vAlign w:val="center"/>
          </w:tcPr>
          <w:p>
            <w:pPr>
              <w:jc w:val="left"/>
            </w:pPr>
            <w:r/>
            <w:r>
              <w:rPr>
                <w:rFonts w:ascii="Aptos" w:hAnsi="Aptos"/>
                <w:b w:val="0"/>
                <w:sz w:val="15"/>
              </w:rPr>
              <w:t>753</w:t>
            </w:r>
          </w:p>
        </w:tc>
        <w:tc>
          <w:tcPr>
            <w:tcW w:type="dxa" w:w="737"/>
            <w:vAlign w:val="center"/>
          </w:tcPr>
          <w:p>
            <w:pPr>
              <w:jc w:val="right"/>
            </w:pPr>
            <w:r/>
            <w:r>
              <w:rPr>
                <w:rFonts w:ascii="Aptos" w:hAnsi="Aptos"/>
                <w:b w:val="0"/>
                <w:sz w:val="15"/>
              </w:rPr>
              <w:t>252</w:t>
            </w:r>
          </w:p>
        </w:tc>
        <w:tc>
          <w:tcPr>
            <w:tcW w:type="dxa" w:w="1247"/>
            <w:vAlign w:val="center"/>
          </w:tcPr>
          <w:p>
            <w:pPr>
              <w:jc w:val="right"/>
            </w:pPr>
            <w:r/>
            <w:r>
              <w:rPr>
                <w:rFonts w:ascii="Aptos" w:hAnsi="Aptos"/>
                <w:b w:val="0"/>
                <w:sz w:val="15"/>
              </w:rPr>
              <w:t>3.15%</w:t>
            </w:r>
          </w:p>
        </w:tc>
        <w:tc>
          <w:tcPr>
            <w:tcW w:type="dxa" w:w="1247"/>
            <w:vAlign w:val="center"/>
          </w:tcPr>
          <w:p>
            <w:pPr>
              <w:jc w:val="right"/>
            </w:pPr>
            <w:r/>
            <w:r>
              <w:rPr>
                <w:rFonts w:ascii="Aptos" w:hAnsi="Aptos"/>
                <w:b w:val="0"/>
                <w:sz w:val="15"/>
              </w:rPr>
              <w:t>113.36%</w:t>
            </w:r>
          </w:p>
        </w:tc>
        <w:tc>
          <w:tcPr>
            <w:tcW w:type="dxa" w:w="964"/>
            <w:vAlign w:val="center"/>
          </w:tcPr>
          <w:p>
            <w:pPr>
              <w:jc w:val="right"/>
            </w:pPr>
            <w:r/>
            <w:r>
              <w:rPr>
                <w:rFonts w:ascii="Aptos" w:hAnsi="Aptos"/>
                <w:b w:val="0"/>
                <w:sz w:val="15"/>
              </w:rPr>
              <w:t>0.11%</w:t>
            </w:r>
          </w:p>
        </w:tc>
        <w:tc>
          <w:tcPr>
            <w:tcW w:type="dxa" w:w="850"/>
            <w:vAlign w:val="center"/>
          </w:tcPr>
          <w:p>
            <w:pPr>
              <w:jc w:val="right"/>
            </w:pPr>
            <w:r/>
            <w:r>
              <w:rPr>
                <w:rFonts w:ascii="Aptos" w:hAnsi="Aptos"/>
                <w:b w:val="0"/>
                <w:sz w:val="15"/>
              </w:rPr>
              <w:t>36</w:t>
            </w:r>
          </w:p>
        </w:tc>
        <w:tc>
          <w:tcPr>
            <w:tcW w:type="dxa" w:w="1020"/>
            <w:vAlign w:val="center"/>
          </w:tcPr>
          <w:p>
            <w:pPr>
              <w:jc w:val="right"/>
            </w:pPr>
            <w:r/>
            <w:r>
              <w:rPr>
                <w:rFonts w:ascii="Aptos" w:hAnsi="Aptos"/>
                <w:b w:val="0"/>
                <w:sz w:val="15"/>
              </w:rPr>
              <w:t>60</w:t>
            </w:r>
          </w:p>
        </w:tc>
        <w:tc>
          <w:tcPr>
            <w:tcW w:type="dxa" w:w="1020"/>
            <w:vAlign w:val="center"/>
          </w:tcPr>
          <w:p>
            <w:pPr>
              <w:jc w:val="right"/>
            </w:pPr>
            <w:r/>
            <w:r>
              <w:rPr>
                <w:rFonts w:ascii="Aptos" w:hAnsi="Aptos"/>
                <w:b w:val="0"/>
                <w:sz w:val="15"/>
              </w:rPr>
              <w:t>3.24%</w:t>
            </w:r>
          </w:p>
        </w:tc>
      </w:tr>
    </w:tbl>
    <w:p/>
    <w:p>
      <w:pPr>
        <w:spacing w:after="80"/>
      </w:pPr>
      <w:r>
        <w:rPr>
          <w:i/>
          <w:color w:val="505050"/>
          <w:sz w:val="16"/>
        </w:rPr>
        <w:t>Source: UNSW Business School FINS3645 Project Data Bundle; Signal Mosaic calculations.</w:t>
      </w:r>
    </w:p>
    <w:p>
      <w:r>
        <w:br w:type="page"/>
      </w:r>
    </w:p>
    <w:p>
      <w:pPr>
        <w:keepNext/>
        <w:jc w:val="center"/>
      </w:pPr>
      <w:r>
        <w:drawing>
          <wp:inline xmlns:a="http://schemas.openxmlformats.org/drawingml/2006/main" xmlns:pic="http://schemas.openxmlformats.org/drawingml/2006/picture">
            <wp:extent cx="6400800" cy="5689600"/>
            <wp:docPr id="7" name="Picture 7" descr="Appendix Figure A1. Combined-fund weights over time by method."/>
            <wp:cNvGraphicFramePr>
              <a:graphicFrameLocks noChangeAspect="1"/>
            </wp:cNvGraphicFramePr>
            <a:graphic>
              <a:graphicData uri="http://schemas.openxmlformats.org/drawingml/2006/picture">
                <pic:pic>
                  <pic:nvPicPr>
                    <pic:cNvPr id="0" name="fund_weights_over_time_combined.png"/>
                    <pic:cNvPicPr/>
                  </pic:nvPicPr>
                  <pic:blipFill>
                    <a:blip r:embed="rId19"/>
                    <a:stretch>
                      <a:fillRect/>
                    </a:stretch>
                  </pic:blipFill>
                  <pic:spPr>
                    <a:xfrm>
                      <a:off x="0" y="0"/>
                      <a:ext cx="6400800" cy="5689600"/>
                    </a:xfrm>
                    <a:prstGeom prst="rect"/>
                  </pic:spPr>
                </pic:pic>
              </a:graphicData>
            </a:graphic>
          </wp:inline>
        </w:drawing>
      </w:r>
    </w:p>
    <w:p>
      <w:pPr>
        <w:pStyle w:val="Caption"/>
        <w:keepNext/>
        <w:jc w:val="center"/>
      </w:pPr>
      <w:r>
        <w:rPr>
          <w:color w:val="142640"/>
          <w:sz w:val="17"/>
        </w:rPr>
        <w:t>Appendix Figure A1. Combined-fund weights over time by method.</w:t>
      </w:r>
    </w:p>
    <w:p>
      <w:r>
        <w:br w:type="page"/>
      </w:r>
    </w:p>
    <w:p>
      <w:pPr>
        <w:pStyle w:val="Caption"/>
        <w:keepNext/>
        <w:jc w:val="center"/>
      </w:pPr>
      <w:r>
        <w:rPr>
          <w:color w:val="142640"/>
          <w:sz w:val="17"/>
        </w:rPr>
        <w:t>Appendix Table A2. Representative latest backtest target holdings at the final reported rebalance.</w:t>
      </w:r>
    </w:p>
    <w:tbl>
      <w:tblPr>
        <w:tblStyle w:val="TableGrid"/>
        <w:tblW w:type="dxa" w:w="10600"/>
        <w:jc w:val="center"/>
        <w:tblLayout w:type="fixed"/>
        <w:tblLook w:firstColumn="1" w:firstRow="1" w:lastColumn="0" w:lastRow="0" w:noHBand="0" w:noVBand="1" w:val="04A0"/>
      </w:tblPr>
      <w:tblGrid>
        <w:gridCol w:w="2835"/>
        <w:gridCol w:w="1360"/>
        <w:gridCol w:w="1304"/>
        <w:gridCol w:w="1984"/>
        <w:gridCol w:w="1360"/>
        <w:gridCol w:w="1757"/>
      </w:tblGrid>
      <w:tr>
        <w:trPr>
          <w:tblHeader/>
          <w:cantSplit/>
        </w:trPr>
        <w:tc>
          <w:tcPr>
            <w:tcW w:type="dxa" w:w="2835"/>
            <w:vAlign w:val="center"/>
            <w:shd w:fill="F2F4F5"/>
          </w:tcPr>
          <w:p>
            <w:pPr>
              <w:jc w:val="left"/>
            </w:pPr>
            <w:r/>
            <w:r>
              <w:rPr>
                <w:rFonts w:ascii="Aptos" w:hAnsi="Aptos"/>
                <w:b/>
                <w:sz w:val="15"/>
              </w:rPr>
              <w:t>Fund</w:t>
            </w:r>
          </w:p>
        </w:tc>
        <w:tc>
          <w:tcPr>
            <w:tcW w:type="dxa" w:w="1361"/>
            <w:vAlign w:val="center"/>
            <w:shd w:fill="F2F4F5"/>
          </w:tcPr>
          <w:p>
            <w:pPr>
              <w:jc w:val="left"/>
            </w:pPr>
            <w:r/>
            <w:r>
              <w:rPr>
                <w:rFonts w:ascii="Aptos" w:hAnsi="Aptos"/>
                <w:b/>
                <w:sz w:val="15"/>
              </w:rPr>
              <w:t>Asset</w:t>
            </w:r>
          </w:p>
        </w:tc>
        <w:tc>
          <w:tcPr>
            <w:tcW w:type="dxa" w:w="1304"/>
            <w:vAlign w:val="center"/>
            <w:shd w:fill="F2F4F5"/>
          </w:tcPr>
          <w:p>
            <w:pPr>
              <w:jc w:val="left"/>
            </w:pPr>
            <w:r/>
            <w:r>
              <w:rPr>
                <w:rFonts w:ascii="Aptos" w:hAnsi="Aptos"/>
                <w:b/>
                <w:sz w:val="15"/>
              </w:rPr>
              <w:t>Asset class</w:t>
            </w:r>
          </w:p>
        </w:tc>
        <w:tc>
          <w:tcPr>
            <w:tcW w:type="dxa" w:w="1984"/>
            <w:vAlign w:val="center"/>
            <w:shd w:fill="F2F4F5"/>
          </w:tcPr>
          <w:p>
            <w:pPr>
              <w:jc w:val="left"/>
            </w:pPr>
            <w:r/>
            <w:r>
              <w:rPr>
                <w:rFonts w:ascii="Aptos" w:hAnsi="Aptos"/>
                <w:b/>
                <w:sz w:val="15"/>
              </w:rPr>
              <w:t>Sector</w:t>
            </w:r>
          </w:p>
        </w:tc>
        <w:tc>
          <w:tcPr>
            <w:tcW w:type="dxa" w:w="1361"/>
            <w:vAlign w:val="center"/>
            <w:shd w:fill="F2F4F5"/>
          </w:tcPr>
          <w:p>
            <w:pPr>
              <w:jc w:val="left"/>
            </w:pPr>
            <w:r/>
            <w:r>
              <w:rPr>
                <w:rFonts w:ascii="Aptos" w:hAnsi="Aptos"/>
                <w:b/>
                <w:sz w:val="15"/>
              </w:rPr>
              <w:t>Target weight</w:t>
            </w:r>
          </w:p>
        </w:tc>
        <w:tc>
          <w:tcPr>
            <w:tcW w:type="dxa" w:w="1757"/>
            <w:vAlign w:val="center"/>
            <w:shd w:fill="F2F4F5"/>
          </w:tcPr>
          <w:p>
            <w:pPr>
              <w:jc w:val="left"/>
            </w:pPr>
            <w:r/>
            <w:r>
              <w:rPr>
                <w:rFonts w:ascii="Aptos" w:hAnsi="Aptos"/>
                <w:b/>
                <w:sz w:val="15"/>
              </w:rPr>
              <w:t>Final rebalance date</w:t>
            </w:r>
          </w:p>
        </w:tc>
      </w:tr>
      <w:tr>
        <w:trPr>
          <w:cantSplit/>
        </w:trPr>
        <w:tc>
          <w:tcPr>
            <w:tcW w:type="dxa" w:w="2835"/>
            <w:vAlign w:val="center"/>
          </w:tcPr>
          <w:p>
            <w:pPr>
              <w:jc w:val="left"/>
            </w:pPr>
            <w:r/>
            <w:r>
              <w:rPr>
                <w:rFonts w:ascii="Aptos" w:hAnsi="Aptos"/>
                <w:b w:val="0"/>
                <w:sz w:val="15"/>
              </w:rPr>
              <w:t>Equity Equal Weight</w:t>
            </w:r>
          </w:p>
        </w:tc>
        <w:tc>
          <w:tcPr>
            <w:tcW w:type="dxa" w:w="1361"/>
            <w:vAlign w:val="center"/>
          </w:tcPr>
          <w:p>
            <w:pPr>
              <w:jc w:val="left"/>
            </w:pPr>
            <w:r/>
            <w:r>
              <w:rPr>
                <w:rFonts w:ascii="Aptos" w:hAnsi="Aptos"/>
                <w:b w:val="0"/>
                <w:sz w:val="15"/>
              </w:rPr>
              <w:t>ABBV</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Healthcare</w:t>
            </w:r>
          </w:p>
        </w:tc>
        <w:tc>
          <w:tcPr>
            <w:tcW w:type="dxa" w:w="1361"/>
            <w:vAlign w:val="center"/>
          </w:tcPr>
          <w:p>
            <w:pPr>
              <w:jc w:val="right"/>
            </w:pPr>
            <w:r/>
            <w:r>
              <w:rPr>
                <w:rFonts w:ascii="Aptos" w:hAnsi="Aptos"/>
                <w:b w:val="0"/>
                <w:sz w:val="15"/>
              </w:rPr>
              <w:t>2.00%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Equal Weight</w:t>
            </w:r>
          </w:p>
        </w:tc>
        <w:tc>
          <w:tcPr>
            <w:tcW w:type="dxa" w:w="1361"/>
            <w:vAlign w:val="center"/>
          </w:tcPr>
          <w:p>
            <w:pPr>
              <w:jc w:val="left"/>
            </w:pPr>
            <w:r/>
            <w:r>
              <w:rPr>
                <w:rFonts w:ascii="Aptos" w:hAnsi="Aptos"/>
                <w:b w:val="0"/>
                <w:sz w:val="15"/>
              </w:rPr>
              <w:t>ABT</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Healthcare</w:t>
            </w:r>
          </w:p>
        </w:tc>
        <w:tc>
          <w:tcPr>
            <w:tcW w:type="dxa" w:w="1361"/>
            <w:vAlign w:val="center"/>
          </w:tcPr>
          <w:p>
            <w:pPr>
              <w:jc w:val="right"/>
            </w:pPr>
            <w:r/>
            <w:r>
              <w:rPr>
                <w:rFonts w:ascii="Aptos" w:hAnsi="Aptos"/>
                <w:b w:val="0"/>
                <w:sz w:val="15"/>
              </w:rPr>
              <w:t>2.00%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Equal Weight</w:t>
            </w:r>
          </w:p>
        </w:tc>
        <w:tc>
          <w:tcPr>
            <w:tcW w:type="dxa" w:w="1361"/>
            <w:vAlign w:val="center"/>
          </w:tcPr>
          <w:p>
            <w:pPr>
              <w:jc w:val="left"/>
            </w:pPr>
            <w:r/>
            <w:r>
              <w:rPr>
                <w:rFonts w:ascii="Aptos" w:hAnsi="Aptos"/>
                <w:b w:val="0"/>
                <w:sz w:val="15"/>
              </w:rPr>
              <w:t>ADBE</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Tech</w:t>
            </w:r>
          </w:p>
        </w:tc>
        <w:tc>
          <w:tcPr>
            <w:tcW w:type="dxa" w:w="1361"/>
            <w:vAlign w:val="center"/>
          </w:tcPr>
          <w:p>
            <w:pPr>
              <w:jc w:val="right"/>
            </w:pPr>
            <w:r/>
            <w:r>
              <w:rPr>
                <w:rFonts w:ascii="Aptos" w:hAnsi="Aptos"/>
                <w:b w:val="0"/>
                <w:sz w:val="15"/>
              </w:rPr>
              <w:t>2.00%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Equal Weight</w:t>
            </w:r>
          </w:p>
        </w:tc>
        <w:tc>
          <w:tcPr>
            <w:tcW w:type="dxa" w:w="1361"/>
            <w:vAlign w:val="center"/>
          </w:tcPr>
          <w:p>
            <w:pPr>
              <w:jc w:val="left"/>
            </w:pPr>
            <w:r/>
            <w:r>
              <w:rPr>
                <w:rFonts w:ascii="Aptos" w:hAnsi="Aptos"/>
                <w:b w:val="0"/>
                <w:sz w:val="15"/>
              </w:rPr>
              <w:t>AEP</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Utilities</w:t>
            </w:r>
          </w:p>
        </w:tc>
        <w:tc>
          <w:tcPr>
            <w:tcW w:type="dxa" w:w="1361"/>
            <w:vAlign w:val="center"/>
          </w:tcPr>
          <w:p>
            <w:pPr>
              <w:jc w:val="right"/>
            </w:pPr>
            <w:r/>
            <w:r>
              <w:rPr>
                <w:rFonts w:ascii="Aptos" w:hAnsi="Aptos"/>
                <w:b w:val="0"/>
                <w:sz w:val="15"/>
              </w:rPr>
              <w:t>2.00%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Equal Weight</w:t>
            </w:r>
          </w:p>
        </w:tc>
        <w:tc>
          <w:tcPr>
            <w:tcW w:type="dxa" w:w="1361"/>
            <w:vAlign w:val="center"/>
          </w:tcPr>
          <w:p>
            <w:pPr>
              <w:jc w:val="left"/>
            </w:pPr>
            <w:r/>
            <w:r>
              <w:rPr>
                <w:rFonts w:ascii="Aptos" w:hAnsi="Aptos"/>
                <w:b w:val="0"/>
                <w:sz w:val="15"/>
              </w:rPr>
              <w:t>AMD</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Tech</w:t>
            </w:r>
          </w:p>
        </w:tc>
        <w:tc>
          <w:tcPr>
            <w:tcW w:type="dxa" w:w="1361"/>
            <w:vAlign w:val="center"/>
          </w:tcPr>
          <w:p>
            <w:pPr>
              <w:jc w:val="right"/>
            </w:pPr>
            <w:r/>
            <w:r>
              <w:rPr>
                <w:rFonts w:ascii="Aptos" w:hAnsi="Aptos"/>
                <w:b w:val="0"/>
                <w:sz w:val="15"/>
              </w:rPr>
              <w:t>2.00%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Equal Weight</w:t>
            </w:r>
          </w:p>
        </w:tc>
        <w:tc>
          <w:tcPr>
            <w:tcW w:type="dxa" w:w="1361"/>
            <w:vAlign w:val="center"/>
          </w:tcPr>
          <w:p>
            <w:pPr>
              <w:jc w:val="left"/>
            </w:pPr>
            <w:r/>
            <w:r>
              <w:rPr>
                <w:rFonts w:ascii="Aptos" w:hAnsi="Aptos"/>
                <w:b w:val="0"/>
                <w:sz w:val="15"/>
              </w:rPr>
              <w:t>AMGN</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Healthcare</w:t>
            </w:r>
          </w:p>
        </w:tc>
        <w:tc>
          <w:tcPr>
            <w:tcW w:type="dxa" w:w="1361"/>
            <w:vAlign w:val="center"/>
          </w:tcPr>
          <w:p>
            <w:pPr>
              <w:jc w:val="right"/>
            </w:pPr>
            <w:r/>
            <w:r>
              <w:rPr>
                <w:rFonts w:ascii="Aptos" w:hAnsi="Aptos"/>
                <w:b w:val="0"/>
                <w:sz w:val="15"/>
              </w:rPr>
              <w:t>2.00%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Equal Weight</w:t>
            </w:r>
          </w:p>
        </w:tc>
        <w:tc>
          <w:tcPr>
            <w:tcW w:type="dxa" w:w="1361"/>
            <w:vAlign w:val="center"/>
          </w:tcPr>
          <w:p>
            <w:pPr>
              <w:jc w:val="left"/>
            </w:pPr>
            <w:r/>
            <w:r>
              <w:rPr>
                <w:rFonts w:ascii="Aptos" w:hAnsi="Aptos"/>
                <w:b w:val="0"/>
                <w:sz w:val="15"/>
              </w:rPr>
              <w:t>AMT</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RealEstate</w:t>
            </w:r>
          </w:p>
        </w:tc>
        <w:tc>
          <w:tcPr>
            <w:tcW w:type="dxa" w:w="1361"/>
            <w:vAlign w:val="center"/>
          </w:tcPr>
          <w:p>
            <w:pPr>
              <w:jc w:val="right"/>
            </w:pPr>
            <w:r/>
            <w:r>
              <w:rPr>
                <w:rFonts w:ascii="Aptos" w:hAnsi="Aptos"/>
                <w:b w:val="0"/>
                <w:sz w:val="15"/>
              </w:rPr>
              <w:t>2.00%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Equal Weight</w:t>
            </w:r>
          </w:p>
        </w:tc>
        <w:tc>
          <w:tcPr>
            <w:tcW w:type="dxa" w:w="1361"/>
            <w:vAlign w:val="center"/>
          </w:tcPr>
          <w:p>
            <w:pPr>
              <w:jc w:val="left"/>
            </w:pPr>
            <w:r/>
            <w:r>
              <w:rPr>
                <w:rFonts w:ascii="Aptos" w:hAnsi="Aptos"/>
                <w:b w:val="0"/>
                <w:sz w:val="15"/>
              </w:rPr>
              <w:t>BA</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Industrials</w:t>
            </w:r>
          </w:p>
        </w:tc>
        <w:tc>
          <w:tcPr>
            <w:tcW w:type="dxa" w:w="1361"/>
            <w:vAlign w:val="center"/>
          </w:tcPr>
          <w:p>
            <w:pPr>
              <w:jc w:val="right"/>
            </w:pPr>
            <w:r/>
            <w:r>
              <w:rPr>
                <w:rFonts w:ascii="Aptos" w:hAnsi="Aptos"/>
                <w:b w:val="0"/>
                <w:sz w:val="15"/>
              </w:rPr>
              <w:t>2.00%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Equal Weight</w:t>
            </w:r>
          </w:p>
        </w:tc>
        <w:tc>
          <w:tcPr>
            <w:tcW w:type="dxa" w:w="1361"/>
            <w:vAlign w:val="center"/>
          </w:tcPr>
          <w:p>
            <w:pPr>
              <w:jc w:val="left"/>
            </w:pPr>
            <w:r/>
            <w:r>
              <w:rPr>
                <w:rFonts w:ascii="Aptos" w:hAnsi="Aptos"/>
                <w:b w:val="0"/>
                <w:sz w:val="15"/>
              </w:rPr>
              <w:t>CAT</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Industrials</w:t>
            </w:r>
          </w:p>
        </w:tc>
        <w:tc>
          <w:tcPr>
            <w:tcW w:type="dxa" w:w="1361"/>
            <w:vAlign w:val="center"/>
          </w:tcPr>
          <w:p>
            <w:pPr>
              <w:jc w:val="right"/>
            </w:pPr>
            <w:r/>
            <w:r>
              <w:rPr>
                <w:rFonts w:ascii="Aptos" w:hAnsi="Aptos"/>
                <w:b w:val="0"/>
                <w:sz w:val="15"/>
              </w:rPr>
              <w:t>2.00%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Equal Weight</w:t>
            </w:r>
          </w:p>
        </w:tc>
        <w:tc>
          <w:tcPr>
            <w:tcW w:type="dxa" w:w="1361"/>
            <w:vAlign w:val="center"/>
          </w:tcPr>
          <w:p>
            <w:pPr>
              <w:jc w:val="left"/>
            </w:pPr>
            <w:r/>
            <w:r>
              <w:rPr>
                <w:rFonts w:ascii="Aptos" w:hAnsi="Aptos"/>
                <w:b w:val="0"/>
                <w:sz w:val="15"/>
              </w:rPr>
              <w:t>CCI</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RealEstate</w:t>
            </w:r>
          </w:p>
        </w:tc>
        <w:tc>
          <w:tcPr>
            <w:tcW w:type="dxa" w:w="1361"/>
            <w:vAlign w:val="center"/>
          </w:tcPr>
          <w:p>
            <w:pPr>
              <w:jc w:val="right"/>
            </w:pPr>
            <w:r/>
            <w:r>
              <w:rPr>
                <w:rFonts w:ascii="Aptos" w:hAnsi="Aptos"/>
                <w:b w:val="0"/>
                <w:sz w:val="15"/>
              </w:rPr>
              <w:t>2.00%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Crypto Minimum Variance</w:t>
            </w:r>
          </w:p>
        </w:tc>
        <w:tc>
          <w:tcPr>
            <w:tcW w:type="dxa" w:w="1361"/>
            <w:vAlign w:val="center"/>
          </w:tcPr>
          <w:p>
            <w:pPr>
              <w:jc w:val="left"/>
            </w:pPr>
            <w:r/>
            <w:r>
              <w:rPr>
                <w:rFonts w:ascii="Aptos" w:hAnsi="Aptos"/>
                <w:b w:val="0"/>
                <w:sz w:val="15"/>
              </w:rPr>
              <w:t>BTC-USD</w:t>
            </w:r>
          </w:p>
        </w:tc>
        <w:tc>
          <w:tcPr>
            <w:tcW w:type="dxa" w:w="1304"/>
            <w:vAlign w:val="center"/>
          </w:tcPr>
          <w:p>
            <w:pPr>
              <w:jc w:val="right"/>
            </w:pPr>
            <w:r/>
            <w:r>
              <w:rPr>
                <w:rFonts w:ascii="Aptos" w:hAnsi="Aptos"/>
                <w:b w:val="0"/>
                <w:sz w:val="15"/>
              </w:rPr>
              <w:t>Crypto</w:t>
            </w:r>
          </w:p>
        </w:tc>
        <w:tc>
          <w:tcPr>
            <w:tcW w:type="dxa" w:w="1984"/>
            <w:vAlign w:val="center"/>
          </w:tcPr>
          <w:p>
            <w:pPr>
              <w:jc w:val="right"/>
            </w:pPr>
            <w:r/>
            <w:r>
              <w:rPr>
                <w:rFonts w:ascii="Aptos" w:hAnsi="Aptos"/>
                <w:b w:val="0"/>
                <w:sz w:val="15"/>
              </w:rPr>
            </w:r>
          </w:p>
        </w:tc>
        <w:tc>
          <w:tcPr>
            <w:tcW w:type="dxa" w:w="1361"/>
            <w:vAlign w:val="center"/>
          </w:tcPr>
          <w:p>
            <w:pPr>
              <w:jc w:val="right"/>
            </w:pPr>
            <w:r/>
            <w:r>
              <w:rPr>
                <w:rFonts w:ascii="Aptos" w:hAnsi="Aptos"/>
                <w:b w:val="0"/>
                <w:sz w:val="15"/>
              </w:rPr>
              <w:t>20.00%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Crypto Minimum Variance</w:t>
            </w:r>
          </w:p>
        </w:tc>
        <w:tc>
          <w:tcPr>
            <w:tcW w:type="dxa" w:w="1361"/>
            <w:vAlign w:val="center"/>
          </w:tcPr>
          <w:p>
            <w:pPr>
              <w:jc w:val="left"/>
            </w:pPr>
            <w:r/>
            <w:r>
              <w:rPr>
                <w:rFonts w:ascii="Aptos" w:hAnsi="Aptos"/>
                <w:b w:val="0"/>
                <w:sz w:val="15"/>
              </w:rPr>
              <w:t>ETH-USD</w:t>
            </w:r>
          </w:p>
        </w:tc>
        <w:tc>
          <w:tcPr>
            <w:tcW w:type="dxa" w:w="1304"/>
            <w:vAlign w:val="center"/>
          </w:tcPr>
          <w:p>
            <w:pPr>
              <w:jc w:val="right"/>
            </w:pPr>
            <w:r/>
            <w:r>
              <w:rPr>
                <w:rFonts w:ascii="Aptos" w:hAnsi="Aptos"/>
                <w:b w:val="0"/>
                <w:sz w:val="15"/>
              </w:rPr>
              <w:t>Crypto</w:t>
            </w:r>
          </w:p>
        </w:tc>
        <w:tc>
          <w:tcPr>
            <w:tcW w:type="dxa" w:w="1984"/>
            <w:vAlign w:val="center"/>
          </w:tcPr>
          <w:p>
            <w:pPr>
              <w:jc w:val="right"/>
            </w:pPr>
            <w:r/>
            <w:r>
              <w:rPr>
                <w:rFonts w:ascii="Aptos" w:hAnsi="Aptos"/>
                <w:b w:val="0"/>
                <w:sz w:val="15"/>
              </w:rPr>
            </w:r>
          </w:p>
        </w:tc>
        <w:tc>
          <w:tcPr>
            <w:tcW w:type="dxa" w:w="1361"/>
            <w:vAlign w:val="center"/>
          </w:tcPr>
          <w:p>
            <w:pPr>
              <w:jc w:val="right"/>
            </w:pPr>
            <w:r/>
            <w:r>
              <w:rPr>
                <w:rFonts w:ascii="Aptos" w:hAnsi="Aptos"/>
                <w:b w:val="0"/>
                <w:sz w:val="15"/>
              </w:rPr>
              <w:t>20.00%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Crypto Minimum Variance</w:t>
            </w:r>
          </w:p>
        </w:tc>
        <w:tc>
          <w:tcPr>
            <w:tcW w:type="dxa" w:w="1361"/>
            <w:vAlign w:val="center"/>
          </w:tcPr>
          <w:p>
            <w:pPr>
              <w:jc w:val="left"/>
            </w:pPr>
            <w:r/>
            <w:r>
              <w:rPr>
                <w:rFonts w:ascii="Aptos" w:hAnsi="Aptos"/>
                <w:b w:val="0"/>
                <w:sz w:val="15"/>
              </w:rPr>
              <w:t>TRX-USD</w:t>
            </w:r>
          </w:p>
        </w:tc>
        <w:tc>
          <w:tcPr>
            <w:tcW w:type="dxa" w:w="1304"/>
            <w:vAlign w:val="center"/>
          </w:tcPr>
          <w:p>
            <w:pPr>
              <w:jc w:val="right"/>
            </w:pPr>
            <w:r/>
            <w:r>
              <w:rPr>
                <w:rFonts w:ascii="Aptos" w:hAnsi="Aptos"/>
                <w:b w:val="0"/>
                <w:sz w:val="15"/>
              </w:rPr>
              <w:t>Crypto</w:t>
            </w:r>
          </w:p>
        </w:tc>
        <w:tc>
          <w:tcPr>
            <w:tcW w:type="dxa" w:w="1984"/>
            <w:vAlign w:val="center"/>
          </w:tcPr>
          <w:p>
            <w:pPr>
              <w:jc w:val="right"/>
            </w:pPr>
            <w:r/>
            <w:r>
              <w:rPr>
                <w:rFonts w:ascii="Aptos" w:hAnsi="Aptos"/>
                <w:b w:val="0"/>
                <w:sz w:val="15"/>
              </w:rPr>
            </w:r>
          </w:p>
        </w:tc>
        <w:tc>
          <w:tcPr>
            <w:tcW w:type="dxa" w:w="1361"/>
            <w:vAlign w:val="center"/>
          </w:tcPr>
          <w:p>
            <w:pPr>
              <w:jc w:val="right"/>
            </w:pPr>
            <w:r/>
            <w:r>
              <w:rPr>
                <w:rFonts w:ascii="Aptos" w:hAnsi="Aptos"/>
                <w:b w:val="0"/>
                <w:sz w:val="15"/>
              </w:rPr>
              <w:t>20.00%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Crypto Minimum Variance</w:t>
            </w:r>
          </w:p>
        </w:tc>
        <w:tc>
          <w:tcPr>
            <w:tcW w:type="dxa" w:w="1361"/>
            <w:vAlign w:val="center"/>
          </w:tcPr>
          <w:p>
            <w:pPr>
              <w:jc w:val="left"/>
            </w:pPr>
            <w:r/>
            <w:r>
              <w:rPr>
                <w:rFonts w:ascii="Aptos" w:hAnsi="Aptos"/>
                <w:b w:val="0"/>
                <w:sz w:val="15"/>
              </w:rPr>
              <w:t>LTC-USD</w:t>
            </w:r>
          </w:p>
        </w:tc>
        <w:tc>
          <w:tcPr>
            <w:tcW w:type="dxa" w:w="1304"/>
            <w:vAlign w:val="center"/>
          </w:tcPr>
          <w:p>
            <w:pPr>
              <w:jc w:val="right"/>
            </w:pPr>
            <w:r/>
            <w:r>
              <w:rPr>
                <w:rFonts w:ascii="Aptos" w:hAnsi="Aptos"/>
                <w:b w:val="0"/>
                <w:sz w:val="15"/>
              </w:rPr>
              <w:t>Crypto</w:t>
            </w:r>
          </w:p>
        </w:tc>
        <w:tc>
          <w:tcPr>
            <w:tcW w:type="dxa" w:w="1984"/>
            <w:vAlign w:val="center"/>
          </w:tcPr>
          <w:p>
            <w:pPr>
              <w:jc w:val="right"/>
            </w:pPr>
            <w:r/>
            <w:r>
              <w:rPr>
                <w:rFonts w:ascii="Aptos" w:hAnsi="Aptos"/>
                <w:b w:val="0"/>
                <w:sz w:val="15"/>
              </w:rPr>
            </w:r>
          </w:p>
        </w:tc>
        <w:tc>
          <w:tcPr>
            <w:tcW w:type="dxa" w:w="1361"/>
            <w:vAlign w:val="center"/>
          </w:tcPr>
          <w:p>
            <w:pPr>
              <w:jc w:val="right"/>
            </w:pPr>
            <w:r/>
            <w:r>
              <w:rPr>
                <w:rFonts w:ascii="Aptos" w:hAnsi="Aptos"/>
                <w:b w:val="0"/>
                <w:sz w:val="15"/>
              </w:rPr>
              <w:t>18.42%</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Crypto Minimum Variance</w:t>
            </w:r>
          </w:p>
        </w:tc>
        <w:tc>
          <w:tcPr>
            <w:tcW w:type="dxa" w:w="1361"/>
            <w:vAlign w:val="center"/>
          </w:tcPr>
          <w:p>
            <w:pPr>
              <w:jc w:val="left"/>
            </w:pPr>
            <w:r/>
            <w:r>
              <w:rPr>
                <w:rFonts w:ascii="Aptos" w:hAnsi="Aptos"/>
                <w:b w:val="0"/>
                <w:sz w:val="15"/>
              </w:rPr>
              <w:t>ADA-USD</w:t>
            </w:r>
          </w:p>
        </w:tc>
        <w:tc>
          <w:tcPr>
            <w:tcW w:type="dxa" w:w="1304"/>
            <w:vAlign w:val="center"/>
          </w:tcPr>
          <w:p>
            <w:pPr>
              <w:jc w:val="right"/>
            </w:pPr>
            <w:r/>
            <w:r>
              <w:rPr>
                <w:rFonts w:ascii="Aptos" w:hAnsi="Aptos"/>
                <w:b w:val="0"/>
                <w:sz w:val="15"/>
              </w:rPr>
              <w:t>Crypto</w:t>
            </w:r>
          </w:p>
        </w:tc>
        <w:tc>
          <w:tcPr>
            <w:tcW w:type="dxa" w:w="1984"/>
            <w:vAlign w:val="center"/>
          </w:tcPr>
          <w:p>
            <w:pPr>
              <w:jc w:val="right"/>
            </w:pPr>
            <w:r/>
            <w:r>
              <w:rPr>
                <w:rFonts w:ascii="Aptos" w:hAnsi="Aptos"/>
                <w:b w:val="0"/>
                <w:sz w:val="15"/>
              </w:rPr>
            </w:r>
          </w:p>
        </w:tc>
        <w:tc>
          <w:tcPr>
            <w:tcW w:type="dxa" w:w="1361"/>
            <w:vAlign w:val="center"/>
          </w:tcPr>
          <w:p>
            <w:pPr>
              <w:jc w:val="right"/>
            </w:pPr>
            <w:r/>
            <w:r>
              <w:rPr>
                <w:rFonts w:ascii="Aptos" w:hAnsi="Aptos"/>
                <w:b w:val="0"/>
                <w:sz w:val="15"/>
              </w:rPr>
              <w:t>9.18%</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Crypto Minimum Variance</w:t>
            </w:r>
          </w:p>
        </w:tc>
        <w:tc>
          <w:tcPr>
            <w:tcW w:type="dxa" w:w="1361"/>
            <w:vAlign w:val="center"/>
          </w:tcPr>
          <w:p>
            <w:pPr>
              <w:jc w:val="left"/>
            </w:pPr>
            <w:r/>
            <w:r>
              <w:rPr>
                <w:rFonts w:ascii="Aptos" w:hAnsi="Aptos"/>
                <w:b w:val="0"/>
                <w:sz w:val="15"/>
              </w:rPr>
              <w:t>XLM-USD</w:t>
            </w:r>
          </w:p>
        </w:tc>
        <w:tc>
          <w:tcPr>
            <w:tcW w:type="dxa" w:w="1304"/>
            <w:vAlign w:val="center"/>
          </w:tcPr>
          <w:p>
            <w:pPr>
              <w:jc w:val="right"/>
            </w:pPr>
            <w:r/>
            <w:r>
              <w:rPr>
                <w:rFonts w:ascii="Aptos" w:hAnsi="Aptos"/>
                <w:b w:val="0"/>
                <w:sz w:val="15"/>
              </w:rPr>
              <w:t>Crypto</w:t>
            </w:r>
          </w:p>
        </w:tc>
        <w:tc>
          <w:tcPr>
            <w:tcW w:type="dxa" w:w="1984"/>
            <w:vAlign w:val="center"/>
          </w:tcPr>
          <w:p>
            <w:pPr>
              <w:jc w:val="right"/>
            </w:pPr>
            <w:r/>
            <w:r>
              <w:rPr>
                <w:rFonts w:ascii="Aptos" w:hAnsi="Aptos"/>
                <w:b w:val="0"/>
                <w:sz w:val="15"/>
              </w:rPr>
            </w:r>
          </w:p>
        </w:tc>
        <w:tc>
          <w:tcPr>
            <w:tcW w:type="dxa" w:w="1361"/>
            <w:vAlign w:val="center"/>
          </w:tcPr>
          <w:p>
            <w:pPr>
              <w:jc w:val="right"/>
            </w:pPr>
            <w:r/>
            <w:r>
              <w:rPr>
                <w:rFonts w:ascii="Aptos" w:hAnsi="Aptos"/>
                <w:b w:val="0"/>
                <w:sz w:val="15"/>
              </w:rPr>
              <w:t>6.32%</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Crypto Minimum Variance</w:t>
            </w:r>
          </w:p>
        </w:tc>
        <w:tc>
          <w:tcPr>
            <w:tcW w:type="dxa" w:w="1361"/>
            <w:vAlign w:val="center"/>
          </w:tcPr>
          <w:p>
            <w:pPr>
              <w:jc w:val="left"/>
            </w:pPr>
            <w:r/>
            <w:r>
              <w:rPr>
                <w:rFonts w:ascii="Aptos" w:hAnsi="Aptos"/>
                <w:b w:val="0"/>
                <w:sz w:val="15"/>
              </w:rPr>
              <w:t>XRP-USD</w:t>
            </w:r>
          </w:p>
        </w:tc>
        <w:tc>
          <w:tcPr>
            <w:tcW w:type="dxa" w:w="1304"/>
            <w:vAlign w:val="center"/>
          </w:tcPr>
          <w:p>
            <w:pPr>
              <w:jc w:val="right"/>
            </w:pPr>
            <w:r/>
            <w:r>
              <w:rPr>
                <w:rFonts w:ascii="Aptos" w:hAnsi="Aptos"/>
                <w:b w:val="0"/>
                <w:sz w:val="15"/>
              </w:rPr>
              <w:t>Crypto</w:t>
            </w:r>
          </w:p>
        </w:tc>
        <w:tc>
          <w:tcPr>
            <w:tcW w:type="dxa" w:w="1984"/>
            <w:vAlign w:val="center"/>
          </w:tcPr>
          <w:p>
            <w:pPr>
              <w:jc w:val="right"/>
            </w:pPr>
            <w:r/>
            <w:r>
              <w:rPr>
                <w:rFonts w:ascii="Aptos" w:hAnsi="Aptos"/>
                <w:b w:val="0"/>
                <w:sz w:val="15"/>
              </w:rPr>
            </w:r>
          </w:p>
        </w:tc>
        <w:tc>
          <w:tcPr>
            <w:tcW w:type="dxa" w:w="1361"/>
            <w:vAlign w:val="center"/>
          </w:tcPr>
          <w:p>
            <w:pPr>
              <w:jc w:val="right"/>
            </w:pPr>
            <w:r/>
            <w:r>
              <w:rPr>
                <w:rFonts w:ascii="Aptos" w:hAnsi="Aptos"/>
                <w:b w:val="0"/>
                <w:sz w:val="15"/>
              </w:rPr>
              <w:t>5.03%</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Crypto Minimum Variance</w:t>
            </w:r>
          </w:p>
        </w:tc>
        <w:tc>
          <w:tcPr>
            <w:tcW w:type="dxa" w:w="1361"/>
            <w:vAlign w:val="center"/>
          </w:tcPr>
          <w:p>
            <w:pPr>
              <w:jc w:val="left"/>
            </w:pPr>
            <w:r/>
            <w:r>
              <w:rPr>
                <w:rFonts w:ascii="Aptos" w:hAnsi="Aptos"/>
                <w:b w:val="0"/>
                <w:sz w:val="15"/>
              </w:rPr>
              <w:t>BCH-USD</w:t>
            </w:r>
          </w:p>
        </w:tc>
        <w:tc>
          <w:tcPr>
            <w:tcW w:type="dxa" w:w="1304"/>
            <w:vAlign w:val="center"/>
          </w:tcPr>
          <w:p>
            <w:pPr>
              <w:jc w:val="right"/>
            </w:pPr>
            <w:r/>
            <w:r>
              <w:rPr>
                <w:rFonts w:ascii="Aptos" w:hAnsi="Aptos"/>
                <w:b w:val="0"/>
                <w:sz w:val="15"/>
              </w:rPr>
              <w:t>Crypto</w:t>
            </w:r>
          </w:p>
        </w:tc>
        <w:tc>
          <w:tcPr>
            <w:tcW w:type="dxa" w:w="1984"/>
            <w:vAlign w:val="center"/>
          </w:tcPr>
          <w:p>
            <w:pPr>
              <w:jc w:val="right"/>
            </w:pPr>
            <w:r/>
            <w:r>
              <w:rPr>
                <w:rFonts w:ascii="Aptos" w:hAnsi="Aptos"/>
                <w:b w:val="0"/>
                <w:sz w:val="15"/>
              </w:rPr>
            </w:r>
          </w:p>
        </w:tc>
        <w:tc>
          <w:tcPr>
            <w:tcW w:type="dxa" w:w="1361"/>
            <w:vAlign w:val="center"/>
          </w:tcPr>
          <w:p>
            <w:pPr>
              <w:jc w:val="right"/>
            </w:pPr>
            <w:r/>
            <w:r>
              <w:rPr>
                <w:rFonts w:ascii="Aptos" w:hAnsi="Aptos"/>
                <w:b w:val="0"/>
                <w:sz w:val="15"/>
              </w:rPr>
              <w:t>1.04%</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Combined Risk Parity</w:t>
            </w:r>
          </w:p>
        </w:tc>
        <w:tc>
          <w:tcPr>
            <w:tcW w:type="dxa" w:w="1361"/>
            <w:vAlign w:val="center"/>
          </w:tcPr>
          <w:p>
            <w:pPr>
              <w:jc w:val="left"/>
            </w:pPr>
            <w:r/>
            <w:r>
              <w:rPr>
                <w:rFonts w:ascii="Aptos" w:hAnsi="Aptos"/>
                <w:b w:val="0"/>
                <w:sz w:val="15"/>
              </w:rPr>
              <w:t>EQ_WMT</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Consumer</w:t>
            </w:r>
          </w:p>
        </w:tc>
        <w:tc>
          <w:tcPr>
            <w:tcW w:type="dxa" w:w="1361"/>
            <w:vAlign w:val="center"/>
          </w:tcPr>
          <w:p>
            <w:pPr>
              <w:jc w:val="right"/>
            </w:pPr>
            <w:r/>
            <w:r>
              <w:rPr>
                <w:rFonts w:ascii="Aptos" w:hAnsi="Aptos"/>
                <w:b w:val="0"/>
                <w:sz w:val="15"/>
              </w:rPr>
              <w:t>3.24%</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Combined Risk Parity</w:t>
            </w:r>
          </w:p>
        </w:tc>
        <w:tc>
          <w:tcPr>
            <w:tcW w:type="dxa" w:w="1361"/>
            <w:vAlign w:val="center"/>
          </w:tcPr>
          <w:p>
            <w:pPr>
              <w:jc w:val="left"/>
            </w:pPr>
            <w:r/>
            <w:r>
              <w:rPr>
                <w:rFonts w:ascii="Aptos" w:hAnsi="Aptos"/>
                <w:b w:val="0"/>
                <w:sz w:val="15"/>
              </w:rPr>
              <w:t>EQ_GILD</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Healthcare</w:t>
            </w:r>
          </w:p>
        </w:tc>
        <w:tc>
          <w:tcPr>
            <w:tcW w:type="dxa" w:w="1361"/>
            <w:vAlign w:val="center"/>
          </w:tcPr>
          <w:p>
            <w:pPr>
              <w:jc w:val="right"/>
            </w:pPr>
            <w:r/>
            <w:r>
              <w:rPr>
                <w:rFonts w:ascii="Aptos" w:hAnsi="Aptos"/>
                <w:b w:val="0"/>
                <w:sz w:val="15"/>
              </w:rPr>
              <w:t>3.12%</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Combined Risk Parity</w:t>
            </w:r>
          </w:p>
        </w:tc>
        <w:tc>
          <w:tcPr>
            <w:tcW w:type="dxa" w:w="1361"/>
            <w:vAlign w:val="center"/>
          </w:tcPr>
          <w:p>
            <w:pPr>
              <w:jc w:val="left"/>
            </w:pPr>
            <w:r/>
            <w:r>
              <w:rPr>
                <w:rFonts w:ascii="Aptos" w:hAnsi="Aptos"/>
                <w:b w:val="0"/>
                <w:sz w:val="15"/>
              </w:rPr>
              <w:t>EQ_MRK</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Healthcare</w:t>
            </w:r>
          </w:p>
        </w:tc>
        <w:tc>
          <w:tcPr>
            <w:tcW w:type="dxa" w:w="1361"/>
            <w:vAlign w:val="center"/>
          </w:tcPr>
          <w:p>
            <w:pPr>
              <w:jc w:val="right"/>
            </w:pPr>
            <w:r/>
            <w:r>
              <w:rPr>
                <w:rFonts w:ascii="Aptos" w:hAnsi="Aptos"/>
                <w:b w:val="0"/>
                <w:sz w:val="15"/>
              </w:rPr>
              <w:t>2.99%</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Combined Risk Parity</w:t>
            </w:r>
          </w:p>
        </w:tc>
        <w:tc>
          <w:tcPr>
            <w:tcW w:type="dxa" w:w="1361"/>
            <w:vAlign w:val="center"/>
          </w:tcPr>
          <w:p>
            <w:pPr>
              <w:jc w:val="left"/>
            </w:pPr>
            <w:r/>
            <w:r>
              <w:rPr>
                <w:rFonts w:ascii="Aptos" w:hAnsi="Aptos"/>
                <w:b w:val="0"/>
                <w:sz w:val="15"/>
              </w:rPr>
              <w:t>EQ_NEM</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Materials</w:t>
            </w:r>
          </w:p>
        </w:tc>
        <w:tc>
          <w:tcPr>
            <w:tcW w:type="dxa" w:w="1361"/>
            <w:vAlign w:val="center"/>
          </w:tcPr>
          <w:p>
            <w:pPr>
              <w:jc w:val="right"/>
            </w:pPr>
            <w:r/>
            <w:r>
              <w:rPr>
                <w:rFonts w:ascii="Aptos" w:hAnsi="Aptos"/>
                <w:b w:val="0"/>
                <w:sz w:val="15"/>
              </w:rPr>
              <w:t>2.87%</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Combined Risk Parity</w:t>
            </w:r>
          </w:p>
        </w:tc>
        <w:tc>
          <w:tcPr>
            <w:tcW w:type="dxa" w:w="1361"/>
            <w:vAlign w:val="center"/>
          </w:tcPr>
          <w:p>
            <w:pPr>
              <w:jc w:val="left"/>
            </w:pPr>
            <w:r/>
            <w:r>
              <w:rPr>
                <w:rFonts w:ascii="Aptos" w:hAnsi="Aptos"/>
                <w:b w:val="0"/>
                <w:sz w:val="15"/>
              </w:rPr>
              <w:t>EQ_ABBV</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Healthcare</w:t>
            </w:r>
          </w:p>
        </w:tc>
        <w:tc>
          <w:tcPr>
            <w:tcW w:type="dxa" w:w="1361"/>
            <w:vAlign w:val="center"/>
          </w:tcPr>
          <w:p>
            <w:pPr>
              <w:jc w:val="right"/>
            </w:pPr>
            <w:r/>
            <w:r>
              <w:rPr>
                <w:rFonts w:ascii="Aptos" w:hAnsi="Aptos"/>
                <w:b w:val="0"/>
                <w:sz w:val="15"/>
              </w:rPr>
              <w:t>2.78%</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Combined Risk Parity</w:t>
            </w:r>
          </w:p>
        </w:tc>
        <w:tc>
          <w:tcPr>
            <w:tcW w:type="dxa" w:w="1361"/>
            <w:vAlign w:val="center"/>
          </w:tcPr>
          <w:p>
            <w:pPr>
              <w:jc w:val="left"/>
            </w:pPr>
            <w:r/>
            <w:r>
              <w:rPr>
                <w:rFonts w:ascii="Aptos" w:hAnsi="Aptos"/>
                <w:b w:val="0"/>
                <w:sz w:val="15"/>
              </w:rPr>
              <w:t>EQ_EA</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Comm</w:t>
            </w:r>
          </w:p>
        </w:tc>
        <w:tc>
          <w:tcPr>
            <w:tcW w:type="dxa" w:w="1361"/>
            <w:vAlign w:val="center"/>
          </w:tcPr>
          <w:p>
            <w:pPr>
              <w:jc w:val="right"/>
            </w:pPr>
            <w:r/>
            <w:r>
              <w:rPr>
                <w:rFonts w:ascii="Aptos" w:hAnsi="Aptos"/>
                <w:b w:val="0"/>
                <w:sz w:val="15"/>
              </w:rPr>
              <w:t>2.75%</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Combined Risk Parity</w:t>
            </w:r>
          </w:p>
        </w:tc>
        <w:tc>
          <w:tcPr>
            <w:tcW w:type="dxa" w:w="1361"/>
            <w:vAlign w:val="center"/>
          </w:tcPr>
          <w:p>
            <w:pPr>
              <w:jc w:val="left"/>
            </w:pPr>
            <w:r/>
            <w:r>
              <w:rPr>
                <w:rFonts w:ascii="Aptos" w:hAnsi="Aptos"/>
                <w:b w:val="0"/>
                <w:sz w:val="15"/>
              </w:rPr>
              <w:t>EQ_AMGN</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Healthcare</w:t>
            </w:r>
          </w:p>
        </w:tc>
        <w:tc>
          <w:tcPr>
            <w:tcW w:type="dxa" w:w="1361"/>
            <w:vAlign w:val="center"/>
          </w:tcPr>
          <w:p>
            <w:pPr>
              <w:jc w:val="right"/>
            </w:pPr>
            <w:r/>
            <w:r>
              <w:rPr>
                <w:rFonts w:ascii="Aptos" w:hAnsi="Aptos"/>
                <w:b w:val="0"/>
                <w:sz w:val="15"/>
              </w:rPr>
              <w:t>2.49%</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Combined Risk Parity</w:t>
            </w:r>
          </w:p>
        </w:tc>
        <w:tc>
          <w:tcPr>
            <w:tcW w:type="dxa" w:w="1361"/>
            <w:vAlign w:val="center"/>
          </w:tcPr>
          <w:p>
            <w:pPr>
              <w:jc w:val="left"/>
            </w:pPr>
            <w:r/>
            <w:r>
              <w:rPr>
                <w:rFonts w:ascii="Aptos" w:hAnsi="Aptos"/>
                <w:b w:val="0"/>
                <w:sz w:val="15"/>
              </w:rPr>
              <w:t>EQ_KO</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Consumer</w:t>
            </w:r>
          </w:p>
        </w:tc>
        <w:tc>
          <w:tcPr>
            <w:tcW w:type="dxa" w:w="1361"/>
            <w:vAlign w:val="center"/>
          </w:tcPr>
          <w:p>
            <w:pPr>
              <w:jc w:val="right"/>
            </w:pPr>
            <w:r/>
            <w:r>
              <w:rPr>
                <w:rFonts w:ascii="Aptos" w:hAnsi="Aptos"/>
                <w:b w:val="0"/>
                <w:sz w:val="15"/>
              </w:rPr>
              <w:t>2.38%</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Combined Risk Parity</w:t>
            </w:r>
          </w:p>
        </w:tc>
        <w:tc>
          <w:tcPr>
            <w:tcW w:type="dxa" w:w="1361"/>
            <w:vAlign w:val="center"/>
          </w:tcPr>
          <w:p>
            <w:pPr>
              <w:jc w:val="left"/>
            </w:pPr>
            <w:r/>
            <w:r>
              <w:rPr>
                <w:rFonts w:ascii="Aptos" w:hAnsi="Aptos"/>
                <w:b w:val="0"/>
                <w:sz w:val="15"/>
              </w:rPr>
              <w:t>EQ_AEP</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Utilities</w:t>
            </w:r>
          </w:p>
        </w:tc>
        <w:tc>
          <w:tcPr>
            <w:tcW w:type="dxa" w:w="1361"/>
            <w:vAlign w:val="center"/>
          </w:tcPr>
          <w:p>
            <w:pPr>
              <w:jc w:val="right"/>
            </w:pPr>
            <w:r/>
            <w:r>
              <w:rPr>
                <w:rFonts w:ascii="Aptos" w:hAnsi="Aptos"/>
                <w:b w:val="0"/>
                <w:sz w:val="15"/>
              </w:rPr>
              <w:t>2.35%</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Combined Risk Parity</w:t>
            </w:r>
          </w:p>
        </w:tc>
        <w:tc>
          <w:tcPr>
            <w:tcW w:type="dxa" w:w="1361"/>
            <w:vAlign w:val="center"/>
          </w:tcPr>
          <w:p>
            <w:pPr>
              <w:jc w:val="left"/>
            </w:pPr>
            <w:r/>
            <w:r>
              <w:rPr>
                <w:rFonts w:ascii="Aptos" w:hAnsi="Aptos"/>
                <w:b w:val="0"/>
                <w:sz w:val="15"/>
              </w:rPr>
              <w:t>EQ_PSA</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RealEstate</w:t>
            </w:r>
          </w:p>
        </w:tc>
        <w:tc>
          <w:tcPr>
            <w:tcW w:type="dxa" w:w="1361"/>
            <w:vAlign w:val="center"/>
          </w:tcPr>
          <w:p>
            <w:pPr>
              <w:jc w:val="right"/>
            </w:pPr>
            <w:r/>
            <w:r>
              <w:rPr>
                <w:rFonts w:ascii="Aptos" w:hAnsi="Aptos"/>
                <w:b w:val="0"/>
                <w:sz w:val="15"/>
              </w:rPr>
              <w:t>2.30%</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Coverage-Gated Sentiment Tilt</w:t>
            </w:r>
          </w:p>
        </w:tc>
        <w:tc>
          <w:tcPr>
            <w:tcW w:type="dxa" w:w="1361"/>
            <w:vAlign w:val="center"/>
          </w:tcPr>
          <w:p>
            <w:pPr>
              <w:jc w:val="left"/>
            </w:pPr>
            <w:r/>
            <w:r>
              <w:rPr>
                <w:rFonts w:ascii="Aptos" w:hAnsi="Aptos"/>
                <w:b w:val="0"/>
                <w:sz w:val="15"/>
              </w:rPr>
              <w:t>AEP</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Utilities</w:t>
            </w:r>
          </w:p>
        </w:tc>
        <w:tc>
          <w:tcPr>
            <w:tcW w:type="dxa" w:w="1361"/>
            <w:vAlign w:val="center"/>
          </w:tcPr>
          <w:p>
            <w:pPr>
              <w:jc w:val="right"/>
            </w:pPr>
            <w:r/>
            <w:r>
              <w:rPr>
                <w:rFonts w:ascii="Aptos" w:hAnsi="Aptos"/>
                <w:b w:val="0"/>
                <w:sz w:val="15"/>
              </w:rPr>
              <w:t>2.46%</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Coverage-Gated Sentiment Tilt</w:t>
            </w:r>
          </w:p>
        </w:tc>
        <w:tc>
          <w:tcPr>
            <w:tcW w:type="dxa" w:w="1361"/>
            <w:vAlign w:val="center"/>
          </w:tcPr>
          <w:p>
            <w:pPr>
              <w:jc w:val="left"/>
            </w:pPr>
            <w:r/>
            <w:r>
              <w:rPr>
                <w:rFonts w:ascii="Aptos" w:hAnsi="Aptos"/>
                <w:b w:val="0"/>
                <w:sz w:val="15"/>
              </w:rPr>
              <w:t>D</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Utilities</w:t>
            </w:r>
          </w:p>
        </w:tc>
        <w:tc>
          <w:tcPr>
            <w:tcW w:type="dxa" w:w="1361"/>
            <w:vAlign w:val="center"/>
          </w:tcPr>
          <w:p>
            <w:pPr>
              <w:jc w:val="right"/>
            </w:pPr>
            <w:r/>
            <w:r>
              <w:rPr>
                <w:rFonts w:ascii="Aptos" w:hAnsi="Aptos"/>
                <w:b w:val="0"/>
                <w:sz w:val="15"/>
              </w:rPr>
              <w:t>2.46%</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Coverage-Gated Sentiment Tilt</w:t>
            </w:r>
          </w:p>
        </w:tc>
        <w:tc>
          <w:tcPr>
            <w:tcW w:type="dxa" w:w="1361"/>
            <w:vAlign w:val="center"/>
          </w:tcPr>
          <w:p>
            <w:pPr>
              <w:jc w:val="left"/>
            </w:pPr>
            <w:r/>
            <w:r>
              <w:rPr>
                <w:rFonts w:ascii="Aptos" w:hAnsi="Aptos"/>
                <w:b w:val="0"/>
                <w:sz w:val="15"/>
              </w:rPr>
              <w:t>DUK</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Utilities</w:t>
            </w:r>
          </w:p>
        </w:tc>
        <w:tc>
          <w:tcPr>
            <w:tcW w:type="dxa" w:w="1361"/>
            <w:vAlign w:val="center"/>
          </w:tcPr>
          <w:p>
            <w:pPr>
              <w:jc w:val="right"/>
            </w:pPr>
            <w:r/>
            <w:r>
              <w:rPr>
                <w:rFonts w:ascii="Aptos" w:hAnsi="Aptos"/>
                <w:b w:val="0"/>
                <w:sz w:val="15"/>
              </w:rPr>
              <w:t>2.46%</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Coverage-Gated Sentiment Tilt</w:t>
            </w:r>
          </w:p>
        </w:tc>
        <w:tc>
          <w:tcPr>
            <w:tcW w:type="dxa" w:w="1361"/>
            <w:vAlign w:val="center"/>
          </w:tcPr>
          <w:p>
            <w:pPr>
              <w:jc w:val="left"/>
            </w:pPr>
            <w:r/>
            <w:r>
              <w:rPr>
                <w:rFonts w:ascii="Aptos" w:hAnsi="Aptos"/>
                <w:b w:val="0"/>
                <w:sz w:val="15"/>
              </w:rPr>
              <w:t>NEE</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Utilities</w:t>
            </w:r>
          </w:p>
        </w:tc>
        <w:tc>
          <w:tcPr>
            <w:tcW w:type="dxa" w:w="1361"/>
            <w:vAlign w:val="center"/>
          </w:tcPr>
          <w:p>
            <w:pPr>
              <w:jc w:val="right"/>
            </w:pPr>
            <w:r/>
            <w:r>
              <w:rPr>
                <w:rFonts w:ascii="Aptos" w:hAnsi="Aptos"/>
                <w:b w:val="0"/>
                <w:sz w:val="15"/>
              </w:rPr>
              <w:t>2.46%</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Coverage-Gated Sentiment Tilt</w:t>
            </w:r>
          </w:p>
        </w:tc>
        <w:tc>
          <w:tcPr>
            <w:tcW w:type="dxa" w:w="1361"/>
            <w:vAlign w:val="center"/>
          </w:tcPr>
          <w:p>
            <w:pPr>
              <w:jc w:val="left"/>
            </w:pPr>
            <w:r/>
            <w:r>
              <w:rPr>
                <w:rFonts w:ascii="Aptos" w:hAnsi="Aptos"/>
                <w:b w:val="0"/>
                <w:sz w:val="15"/>
              </w:rPr>
              <w:t>SO</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Utilities</w:t>
            </w:r>
          </w:p>
        </w:tc>
        <w:tc>
          <w:tcPr>
            <w:tcW w:type="dxa" w:w="1361"/>
            <w:vAlign w:val="center"/>
          </w:tcPr>
          <w:p>
            <w:pPr>
              <w:jc w:val="right"/>
            </w:pPr>
            <w:r/>
            <w:r>
              <w:rPr>
                <w:rFonts w:ascii="Aptos" w:hAnsi="Aptos"/>
                <w:b w:val="0"/>
                <w:sz w:val="15"/>
              </w:rPr>
              <w:t>2.46%</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Coverage-Gated Sentiment Tilt</w:t>
            </w:r>
          </w:p>
        </w:tc>
        <w:tc>
          <w:tcPr>
            <w:tcW w:type="dxa" w:w="1361"/>
            <w:vAlign w:val="center"/>
          </w:tcPr>
          <w:p>
            <w:pPr>
              <w:jc w:val="left"/>
            </w:pPr>
            <w:r/>
            <w:r>
              <w:rPr>
                <w:rFonts w:ascii="Aptos" w:hAnsi="Aptos"/>
                <w:b w:val="0"/>
                <w:sz w:val="15"/>
              </w:rPr>
              <w:t>ADBE</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Tech</w:t>
            </w:r>
          </w:p>
        </w:tc>
        <w:tc>
          <w:tcPr>
            <w:tcW w:type="dxa" w:w="1361"/>
            <w:vAlign w:val="center"/>
          </w:tcPr>
          <w:p>
            <w:pPr>
              <w:jc w:val="right"/>
            </w:pPr>
            <w:r/>
            <w:r>
              <w:rPr>
                <w:rFonts w:ascii="Aptos" w:hAnsi="Aptos"/>
                <w:b w:val="0"/>
                <w:sz w:val="15"/>
              </w:rPr>
              <w:t>2.26%</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Coverage-Gated Sentiment Tilt</w:t>
            </w:r>
          </w:p>
        </w:tc>
        <w:tc>
          <w:tcPr>
            <w:tcW w:type="dxa" w:w="1361"/>
            <w:vAlign w:val="center"/>
          </w:tcPr>
          <w:p>
            <w:pPr>
              <w:jc w:val="left"/>
            </w:pPr>
            <w:r/>
            <w:r>
              <w:rPr>
                <w:rFonts w:ascii="Aptos" w:hAnsi="Aptos"/>
                <w:b w:val="0"/>
                <w:sz w:val="15"/>
              </w:rPr>
              <w:t>AMD</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Tech</w:t>
            </w:r>
          </w:p>
        </w:tc>
        <w:tc>
          <w:tcPr>
            <w:tcW w:type="dxa" w:w="1361"/>
            <w:vAlign w:val="center"/>
          </w:tcPr>
          <w:p>
            <w:pPr>
              <w:jc w:val="right"/>
            </w:pPr>
            <w:r/>
            <w:r>
              <w:rPr>
                <w:rFonts w:ascii="Aptos" w:hAnsi="Aptos"/>
                <w:b w:val="0"/>
                <w:sz w:val="15"/>
              </w:rPr>
              <w:t>2.26%</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Coverage-Gated Sentiment Tilt</w:t>
            </w:r>
          </w:p>
        </w:tc>
        <w:tc>
          <w:tcPr>
            <w:tcW w:type="dxa" w:w="1361"/>
            <w:vAlign w:val="center"/>
          </w:tcPr>
          <w:p>
            <w:pPr>
              <w:jc w:val="left"/>
            </w:pPr>
            <w:r/>
            <w:r>
              <w:rPr>
                <w:rFonts w:ascii="Aptos" w:hAnsi="Aptos"/>
                <w:b w:val="0"/>
                <w:sz w:val="15"/>
              </w:rPr>
              <w:t>INTC</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Tech</w:t>
            </w:r>
          </w:p>
        </w:tc>
        <w:tc>
          <w:tcPr>
            <w:tcW w:type="dxa" w:w="1361"/>
            <w:vAlign w:val="center"/>
          </w:tcPr>
          <w:p>
            <w:pPr>
              <w:jc w:val="right"/>
            </w:pPr>
            <w:r/>
            <w:r>
              <w:rPr>
                <w:rFonts w:ascii="Aptos" w:hAnsi="Aptos"/>
                <w:b w:val="0"/>
                <w:sz w:val="15"/>
              </w:rPr>
              <w:t>2.26%</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Coverage-Gated Sentiment Tilt</w:t>
            </w:r>
          </w:p>
        </w:tc>
        <w:tc>
          <w:tcPr>
            <w:tcW w:type="dxa" w:w="1361"/>
            <w:vAlign w:val="center"/>
          </w:tcPr>
          <w:p>
            <w:pPr>
              <w:jc w:val="left"/>
            </w:pPr>
            <w:r/>
            <w:r>
              <w:rPr>
                <w:rFonts w:ascii="Aptos" w:hAnsi="Aptos"/>
                <w:b w:val="0"/>
                <w:sz w:val="15"/>
              </w:rPr>
              <w:t>NVDA</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Tech</w:t>
            </w:r>
          </w:p>
        </w:tc>
        <w:tc>
          <w:tcPr>
            <w:tcW w:type="dxa" w:w="1361"/>
            <w:vAlign w:val="center"/>
          </w:tcPr>
          <w:p>
            <w:pPr>
              <w:jc w:val="right"/>
            </w:pPr>
            <w:r/>
            <w:r>
              <w:rPr>
                <w:rFonts w:ascii="Aptos" w:hAnsi="Aptos"/>
                <w:b w:val="0"/>
                <w:sz w:val="15"/>
              </w:rPr>
              <w:t>2.26%</w:t>
            </w:r>
          </w:p>
        </w:tc>
        <w:tc>
          <w:tcPr>
            <w:tcW w:type="dxa" w:w="1757"/>
            <w:vAlign w:val="center"/>
          </w:tcPr>
          <w:p>
            <w:pPr>
              <w:jc w:val="right"/>
            </w:pPr>
            <w:r/>
            <w:r>
              <w:rPr>
                <w:rFonts w:ascii="Aptos" w:hAnsi="Aptos"/>
                <w:b w:val="0"/>
                <w:sz w:val="15"/>
              </w:rPr>
              <w:t>2023-12-01</w:t>
            </w:r>
          </w:p>
        </w:tc>
      </w:tr>
      <w:tr>
        <w:trPr>
          <w:cantSplit/>
        </w:trPr>
        <w:tc>
          <w:tcPr>
            <w:tcW w:type="dxa" w:w="2835"/>
            <w:vAlign w:val="center"/>
          </w:tcPr>
          <w:p>
            <w:pPr>
              <w:jc w:val="left"/>
            </w:pPr>
            <w:r/>
            <w:r>
              <w:rPr>
                <w:rFonts w:ascii="Aptos" w:hAnsi="Aptos"/>
                <w:b w:val="0"/>
                <w:sz w:val="15"/>
              </w:rPr>
              <w:t>Equity Coverage-Gated Sentiment Tilt</w:t>
            </w:r>
          </w:p>
        </w:tc>
        <w:tc>
          <w:tcPr>
            <w:tcW w:type="dxa" w:w="1361"/>
            <w:vAlign w:val="center"/>
          </w:tcPr>
          <w:p>
            <w:pPr>
              <w:jc w:val="left"/>
            </w:pPr>
            <w:r/>
            <w:r>
              <w:rPr>
                <w:rFonts w:ascii="Aptos" w:hAnsi="Aptos"/>
                <w:b w:val="0"/>
                <w:sz w:val="15"/>
              </w:rPr>
              <w:t>QCOM</w:t>
            </w:r>
          </w:p>
        </w:tc>
        <w:tc>
          <w:tcPr>
            <w:tcW w:type="dxa" w:w="1304"/>
            <w:vAlign w:val="center"/>
          </w:tcPr>
          <w:p>
            <w:pPr>
              <w:jc w:val="right"/>
            </w:pPr>
            <w:r/>
            <w:r>
              <w:rPr>
                <w:rFonts w:ascii="Aptos" w:hAnsi="Aptos"/>
                <w:b w:val="0"/>
                <w:sz w:val="15"/>
              </w:rPr>
              <w:t>Equity</w:t>
            </w:r>
          </w:p>
        </w:tc>
        <w:tc>
          <w:tcPr>
            <w:tcW w:type="dxa" w:w="1984"/>
            <w:vAlign w:val="center"/>
          </w:tcPr>
          <w:p>
            <w:pPr>
              <w:jc w:val="right"/>
            </w:pPr>
            <w:r/>
            <w:r>
              <w:rPr>
                <w:rFonts w:ascii="Aptos" w:hAnsi="Aptos"/>
                <w:b w:val="0"/>
                <w:sz w:val="15"/>
              </w:rPr>
              <w:t>Tech</w:t>
            </w:r>
          </w:p>
        </w:tc>
        <w:tc>
          <w:tcPr>
            <w:tcW w:type="dxa" w:w="1361"/>
            <w:vAlign w:val="center"/>
          </w:tcPr>
          <w:p>
            <w:pPr>
              <w:jc w:val="right"/>
            </w:pPr>
            <w:r/>
            <w:r>
              <w:rPr>
                <w:rFonts w:ascii="Aptos" w:hAnsi="Aptos"/>
                <w:b w:val="0"/>
                <w:sz w:val="15"/>
              </w:rPr>
              <w:t>2.26%</w:t>
            </w:r>
          </w:p>
        </w:tc>
        <w:tc>
          <w:tcPr>
            <w:tcW w:type="dxa" w:w="1757"/>
            <w:vAlign w:val="center"/>
          </w:tcPr>
          <w:p>
            <w:pPr>
              <w:jc w:val="right"/>
            </w:pPr>
            <w:r/>
            <w:r>
              <w:rPr>
                <w:rFonts w:ascii="Aptos" w:hAnsi="Aptos"/>
                <w:b w:val="0"/>
                <w:sz w:val="15"/>
              </w:rPr>
              <w:t>2023-12-01</w:t>
            </w:r>
          </w:p>
        </w:tc>
      </w:tr>
    </w:tbl>
    <w:p/>
    <w:p>
      <w:pPr>
        <w:ind w:left="170" w:right="170"/>
      </w:pPr>
      <w:r>
        <w:rPr>
          <w:i/>
          <w:sz w:val="17"/>
        </w:rPr>
        <w:t>Note: The complete holdings file is included in the submitted project artifacts.</w:t>
      </w:r>
    </w:p>
    <w:p>
      <w:r>
        <w:br w:type="page"/>
      </w:r>
    </w:p>
    <w:p>
      <w:pPr>
        <w:pStyle w:val="Caption"/>
        <w:keepNext/>
        <w:jc w:val="center"/>
      </w:pPr>
      <w:r>
        <w:rPr>
          <w:color w:val="142640"/>
          <w:sz w:val="17"/>
        </w:rPr>
        <w:t>Appendix Table A3. Fund fact-sheet summary.</w:t>
      </w:r>
    </w:p>
    <w:tbl>
      <w:tblPr>
        <w:tblStyle w:val="TableGrid"/>
        <w:tblW w:type="dxa" w:w="12811"/>
        <w:jc w:val="center"/>
        <w:tblLayout w:type="fixed"/>
        <w:tblLook w:firstColumn="1" w:firstRow="1" w:lastColumn="0" w:lastRow="0" w:noHBand="0" w:noVBand="1" w:val="04A0"/>
      </w:tblPr>
      <w:tblGrid>
        <w:gridCol w:w="3288"/>
        <w:gridCol w:w="1530"/>
        <w:gridCol w:w="1530"/>
        <w:gridCol w:w="1814"/>
        <w:gridCol w:w="1814"/>
        <w:gridCol w:w="1134"/>
        <w:gridCol w:w="1701"/>
      </w:tblGrid>
      <w:tr>
        <w:trPr>
          <w:tblHeader/>
          <w:cantSplit/>
        </w:trPr>
        <w:tc>
          <w:tcPr>
            <w:tcW w:type="dxa" w:w="3288"/>
            <w:vAlign w:val="center"/>
            <w:shd w:fill="F2F4F5"/>
          </w:tcPr>
          <w:p>
            <w:pPr>
              <w:jc w:val="left"/>
            </w:pPr>
            <w:r/>
            <w:r>
              <w:rPr>
                <w:rFonts w:ascii="Aptos" w:hAnsi="Aptos"/>
                <w:b/>
                <w:sz w:val="15"/>
              </w:rPr>
              <w:t>Fund</w:t>
            </w:r>
          </w:p>
        </w:tc>
        <w:tc>
          <w:tcPr>
            <w:tcW w:type="dxa" w:w="1531"/>
            <w:vAlign w:val="center"/>
            <w:shd w:fill="F2F4F5"/>
          </w:tcPr>
          <w:p>
            <w:pPr>
              <w:jc w:val="left"/>
            </w:pPr>
            <w:r/>
            <w:r>
              <w:rPr>
                <w:rFonts w:ascii="Aptos" w:hAnsi="Aptos"/>
                <w:b/>
                <w:sz w:val="15"/>
              </w:rPr>
              <w:t>First live date</w:t>
            </w:r>
          </w:p>
        </w:tc>
        <w:tc>
          <w:tcPr>
            <w:tcW w:type="dxa" w:w="1531"/>
            <w:vAlign w:val="center"/>
            <w:shd w:fill="F2F4F5"/>
          </w:tcPr>
          <w:p>
            <w:pPr>
              <w:jc w:val="left"/>
            </w:pPr>
            <w:r/>
            <w:r>
              <w:rPr>
                <w:rFonts w:ascii="Aptos" w:hAnsi="Aptos"/>
                <w:b/>
                <w:sz w:val="15"/>
              </w:rPr>
              <w:t>End date</w:t>
            </w:r>
          </w:p>
        </w:tc>
        <w:tc>
          <w:tcPr>
            <w:tcW w:type="dxa" w:w="1814"/>
            <w:vAlign w:val="center"/>
            <w:shd w:fill="F2F4F5"/>
          </w:tcPr>
          <w:p>
            <w:pPr>
              <w:jc w:val="left"/>
            </w:pPr>
            <w:r/>
            <w:r>
              <w:rPr>
                <w:rFonts w:ascii="Aptos" w:hAnsi="Aptos"/>
                <w:b/>
                <w:sz w:val="15"/>
              </w:rPr>
              <w:t>Net annualised return</w:t>
            </w:r>
          </w:p>
        </w:tc>
        <w:tc>
          <w:tcPr>
            <w:tcW w:type="dxa" w:w="1814"/>
            <w:vAlign w:val="center"/>
            <w:shd w:fill="F2F4F5"/>
          </w:tcPr>
          <w:p>
            <w:pPr>
              <w:jc w:val="left"/>
            </w:pPr>
            <w:r/>
            <w:r>
              <w:rPr>
                <w:rFonts w:ascii="Aptos" w:hAnsi="Aptos"/>
                <w:b/>
                <w:sz w:val="15"/>
              </w:rPr>
              <w:t>Net annualised volatility</w:t>
            </w:r>
          </w:p>
        </w:tc>
        <w:tc>
          <w:tcPr>
            <w:tcW w:type="dxa" w:w="1134"/>
            <w:vAlign w:val="center"/>
            <w:shd w:fill="F2F4F5"/>
          </w:tcPr>
          <w:p>
            <w:pPr>
              <w:jc w:val="left"/>
            </w:pPr>
            <w:r/>
            <w:r>
              <w:rPr>
                <w:rFonts w:ascii="Aptos" w:hAnsi="Aptos"/>
                <w:b/>
                <w:sz w:val="15"/>
              </w:rPr>
              <w:t>Net Sharpe</w:t>
            </w:r>
          </w:p>
        </w:tc>
        <w:tc>
          <w:tcPr>
            <w:tcW w:type="dxa" w:w="1701"/>
            <w:vAlign w:val="center"/>
            <w:shd w:fill="F2F4F5"/>
          </w:tcPr>
          <w:p>
            <w:pPr>
              <w:jc w:val="left"/>
            </w:pPr>
            <w:r/>
            <w:r>
              <w:rPr>
                <w:rFonts w:ascii="Aptos" w:hAnsi="Aptos"/>
                <w:b/>
                <w:sz w:val="15"/>
              </w:rPr>
              <w:t>Maximum drawdown</w:t>
            </w:r>
          </w:p>
        </w:tc>
      </w:tr>
      <w:tr>
        <w:trPr>
          <w:cantSplit/>
        </w:trPr>
        <w:tc>
          <w:tcPr>
            <w:tcW w:type="dxa" w:w="3288"/>
            <w:vAlign w:val="center"/>
          </w:tcPr>
          <w:p>
            <w:pPr>
              <w:jc w:val="left"/>
            </w:pPr>
            <w:r/>
            <w:r>
              <w:rPr>
                <w:rFonts w:ascii="Aptos" w:hAnsi="Aptos"/>
                <w:b w:val="0"/>
                <w:sz w:val="15"/>
              </w:rPr>
              <w:t>Equity Equal Weight</w:t>
            </w:r>
          </w:p>
        </w:tc>
        <w:tc>
          <w:tcPr>
            <w:tcW w:type="dxa" w:w="1531"/>
            <w:vAlign w:val="center"/>
          </w:tcPr>
          <w:p>
            <w:pPr>
              <w:jc w:val="left"/>
            </w:pPr>
            <w:r/>
            <w:r>
              <w:rPr>
                <w:rFonts w:ascii="Aptos" w:hAnsi="Aptos"/>
                <w:b w:val="0"/>
                <w:sz w:val="15"/>
              </w:rPr>
              <w:t>2021-01-04</w:t>
            </w:r>
          </w:p>
        </w:tc>
        <w:tc>
          <w:tcPr>
            <w:tcW w:type="dxa" w:w="1531"/>
            <w:vAlign w:val="center"/>
          </w:tcPr>
          <w:p>
            <w:pPr>
              <w:jc w:val="right"/>
            </w:pPr>
            <w:r/>
            <w:r>
              <w:rPr>
                <w:rFonts w:ascii="Aptos" w:hAnsi="Aptos"/>
                <w:b w:val="0"/>
                <w:sz w:val="15"/>
              </w:rPr>
              <w:t>2023-12-29</w:t>
            </w:r>
          </w:p>
        </w:tc>
        <w:tc>
          <w:tcPr>
            <w:tcW w:type="dxa" w:w="1814"/>
            <w:vAlign w:val="center"/>
          </w:tcPr>
          <w:p>
            <w:pPr>
              <w:jc w:val="right"/>
            </w:pPr>
            <w:r/>
            <w:r>
              <w:rPr>
                <w:rFonts w:ascii="Aptos" w:hAnsi="Aptos"/>
                <w:b w:val="0"/>
                <w:sz w:val="15"/>
              </w:rPr>
              <w:t>12.61%</w:t>
            </w:r>
          </w:p>
        </w:tc>
        <w:tc>
          <w:tcPr>
            <w:tcW w:type="dxa" w:w="1814"/>
            <w:vAlign w:val="center"/>
          </w:tcPr>
          <w:p>
            <w:pPr>
              <w:jc w:val="right"/>
            </w:pPr>
            <w:r/>
            <w:r>
              <w:rPr>
                <w:rFonts w:ascii="Aptos" w:hAnsi="Aptos"/>
                <w:b w:val="0"/>
                <w:sz w:val="15"/>
              </w:rPr>
              <w:t>16.12%</w:t>
            </w:r>
          </w:p>
        </w:tc>
        <w:tc>
          <w:tcPr>
            <w:tcW w:type="dxa" w:w="1134"/>
            <w:vAlign w:val="center"/>
          </w:tcPr>
          <w:p>
            <w:pPr>
              <w:jc w:val="right"/>
            </w:pPr>
            <w:r/>
            <w:r>
              <w:rPr>
                <w:rFonts w:ascii="Aptos" w:hAnsi="Aptos"/>
                <w:b w:val="0"/>
                <w:sz w:val="15"/>
              </w:rPr>
              <w:t>0.82</w:t>
            </w:r>
          </w:p>
        </w:tc>
        <w:tc>
          <w:tcPr>
            <w:tcW w:type="dxa" w:w="1701"/>
            <w:vAlign w:val="center"/>
          </w:tcPr>
          <w:p>
            <w:pPr>
              <w:jc w:val="right"/>
            </w:pPr>
            <w:r/>
            <w:r>
              <w:rPr>
                <w:rFonts w:ascii="Aptos" w:hAnsi="Aptos"/>
                <w:b w:val="0"/>
                <w:sz w:val="15"/>
              </w:rPr>
              <w:t>-20.26%</w:t>
            </w:r>
          </w:p>
        </w:tc>
      </w:tr>
      <w:tr>
        <w:trPr>
          <w:cantSplit/>
        </w:trPr>
        <w:tc>
          <w:tcPr>
            <w:tcW w:type="dxa" w:w="3288"/>
            <w:vAlign w:val="center"/>
          </w:tcPr>
          <w:p>
            <w:pPr>
              <w:jc w:val="left"/>
            </w:pPr>
            <w:r/>
            <w:r>
              <w:rPr>
                <w:rFonts w:ascii="Aptos" w:hAnsi="Aptos"/>
                <w:b w:val="0"/>
                <w:sz w:val="15"/>
              </w:rPr>
              <w:t>Equity Minimum Variance</w:t>
            </w:r>
          </w:p>
        </w:tc>
        <w:tc>
          <w:tcPr>
            <w:tcW w:type="dxa" w:w="1531"/>
            <w:vAlign w:val="center"/>
          </w:tcPr>
          <w:p>
            <w:pPr>
              <w:jc w:val="left"/>
            </w:pPr>
            <w:r/>
            <w:r>
              <w:rPr>
                <w:rFonts w:ascii="Aptos" w:hAnsi="Aptos"/>
                <w:b w:val="0"/>
                <w:sz w:val="15"/>
              </w:rPr>
              <w:t>2021-01-04</w:t>
            </w:r>
          </w:p>
        </w:tc>
        <w:tc>
          <w:tcPr>
            <w:tcW w:type="dxa" w:w="1531"/>
            <w:vAlign w:val="center"/>
          </w:tcPr>
          <w:p>
            <w:pPr>
              <w:jc w:val="right"/>
            </w:pPr>
            <w:r/>
            <w:r>
              <w:rPr>
                <w:rFonts w:ascii="Aptos" w:hAnsi="Aptos"/>
                <w:b w:val="0"/>
                <w:sz w:val="15"/>
              </w:rPr>
              <w:t>2023-12-29</w:t>
            </w:r>
          </w:p>
        </w:tc>
        <w:tc>
          <w:tcPr>
            <w:tcW w:type="dxa" w:w="1814"/>
            <w:vAlign w:val="center"/>
          </w:tcPr>
          <w:p>
            <w:pPr>
              <w:jc w:val="right"/>
            </w:pPr>
            <w:r/>
            <w:r>
              <w:rPr>
                <w:rFonts w:ascii="Aptos" w:hAnsi="Aptos"/>
                <w:b w:val="0"/>
                <w:sz w:val="15"/>
              </w:rPr>
              <w:t>7.05%</w:t>
            </w:r>
          </w:p>
        </w:tc>
        <w:tc>
          <w:tcPr>
            <w:tcW w:type="dxa" w:w="1814"/>
            <w:vAlign w:val="center"/>
          </w:tcPr>
          <w:p>
            <w:pPr>
              <w:jc w:val="right"/>
            </w:pPr>
            <w:r/>
            <w:r>
              <w:rPr>
                <w:rFonts w:ascii="Aptos" w:hAnsi="Aptos"/>
                <w:b w:val="0"/>
                <w:sz w:val="15"/>
              </w:rPr>
              <w:t>12.73%</w:t>
            </w:r>
          </w:p>
        </w:tc>
        <w:tc>
          <w:tcPr>
            <w:tcW w:type="dxa" w:w="1134"/>
            <w:vAlign w:val="center"/>
          </w:tcPr>
          <w:p>
            <w:pPr>
              <w:jc w:val="right"/>
            </w:pPr>
            <w:r/>
            <w:r>
              <w:rPr>
                <w:rFonts w:ascii="Aptos" w:hAnsi="Aptos"/>
                <w:b w:val="0"/>
                <w:sz w:val="15"/>
              </w:rPr>
              <w:t>0.60</w:t>
            </w:r>
          </w:p>
        </w:tc>
        <w:tc>
          <w:tcPr>
            <w:tcW w:type="dxa" w:w="1701"/>
            <w:vAlign w:val="center"/>
          </w:tcPr>
          <w:p>
            <w:pPr>
              <w:jc w:val="right"/>
            </w:pPr>
            <w:r/>
            <w:r>
              <w:rPr>
                <w:rFonts w:ascii="Aptos" w:hAnsi="Aptos"/>
                <w:b w:val="0"/>
                <w:sz w:val="15"/>
              </w:rPr>
              <w:t>-17.84%</w:t>
            </w:r>
          </w:p>
        </w:tc>
      </w:tr>
      <w:tr>
        <w:trPr>
          <w:cantSplit/>
        </w:trPr>
        <w:tc>
          <w:tcPr>
            <w:tcW w:type="dxa" w:w="3288"/>
            <w:vAlign w:val="center"/>
          </w:tcPr>
          <w:p>
            <w:pPr>
              <w:jc w:val="left"/>
            </w:pPr>
            <w:r/>
            <w:r>
              <w:rPr>
                <w:rFonts w:ascii="Aptos" w:hAnsi="Aptos"/>
                <w:b w:val="0"/>
                <w:sz w:val="15"/>
              </w:rPr>
              <w:t>Equity Risk Parity</w:t>
            </w:r>
          </w:p>
        </w:tc>
        <w:tc>
          <w:tcPr>
            <w:tcW w:type="dxa" w:w="1531"/>
            <w:vAlign w:val="center"/>
          </w:tcPr>
          <w:p>
            <w:pPr>
              <w:jc w:val="left"/>
            </w:pPr>
            <w:r/>
            <w:r>
              <w:rPr>
                <w:rFonts w:ascii="Aptos" w:hAnsi="Aptos"/>
                <w:b w:val="0"/>
                <w:sz w:val="15"/>
              </w:rPr>
              <w:t>2021-01-04</w:t>
            </w:r>
          </w:p>
        </w:tc>
        <w:tc>
          <w:tcPr>
            <w:tcW w:type="dxa" w:w="1531"/>
            <w:vAlign w:val="center"/>
          </w:tcPr>
          <w:p>
            <w:pPr>
              <w:jc w:val="right"/>
            </w:pPr>
            <w:r/>
            <w:r>
              <w:rPr>
                <w:rFonts w:ascii="Aptos" w:hAnsi="Aptos"/>
                <w:b w:val="0"/>
                <w:sz w:val="15"/>
              </w:rPr>
              <w:t>2023-12-29</w:t>
            </w:r>
          </w:p>
        </w:tc>
        <w:tc>
          <w:tcPr>
            <w:tcW w:type="dxa" w:w="1814"/>
            <w:vAlign w:val="center"/>
          </w:tcPr>
          <w:p>
            <w:pPr>
              <w:jc w:val="right"/>
            </w:pPr>
            <w:r/>
            <w:r>
              <w:rPr>
                <w:rFonts w:ascii="Aptos" w:hAnsi="Aptos"/>
                <w:b w:val="0"/>
                <w:sz w:val="15"/>
              </w:rPr>
              <w:t>10.04%</w:t>
            </w:r>
          </w:p>
        </w:tc>
        <w:tc>
          <w:tcPr>
            <w:tcW w:type="dxa" w:w="1814"/>
            <w:vAlign w:val="center"/>
          </w:tcPr>
          <w:p>
            <w:pPr>
              <w:jc w:val="right"/>
            </w:pPr>
            <w:r/>
            <w:r>
              <w:rPr>
                <w:rFonts w:ascii="Aptos" w:hAnsi="Aptos"/>
                <w:b w:val="0"/>
                <w:sz w:val="15"/>
              </w:rPr>
              <w:t>14.93%</w:t>
            </w:r>
          </w:p>
        </w:tc>
        <w:tc>
          <w:tcPr>
            <w:tcW w:type="dxa" w:w="1134"/>
            <w:vAlign w:val="center"/>
          </w:tcPr>
          <w:p>
            <w:pPr>
              <w:jc w:val="right"/>
            </w:pPr>
            <w:r/>
            <w:r>
              <w:rPr>
                <w:rFonts w:ascii="Aptos" w:hAnsi="Aptos"/>
                <w:b w:val="0"/>
                <w:sz w:val="15"/>
              </w:rPr>
              <w:t>0.72</w:t>
            </w:r>
          </w:p>
        </w:tc>
        <w:tc>
          <w:tcPr>
            <w:tcW w:type="dxa" w:w="1701"/>
            <w:vAlign w:val="center"/>
          </w:tcPr>
          <w:p>
            <w:pPr>
              <w:jc w:val="right"/>
            </w:pPr>
            <w:r/>
            <w:r>
              <w:rPr>
                <w:rFonts w:ascii="Aptos" w:hAnsi="Aptos"/>
                <w:b w:val="0"/>
                <w:sz w:val="15"/>
              </w:rPr>
              <w:t>-19.41%</w:t>
            </w:r>
          </w:p>
        </w:tc>
      </w:tr>
      <w:tr>
        <w:trPr>
          <w:cantSplit/>
        </w:trPr>
        <w:tc>
          <w:tcPr>
            <w:tcW w:type="dxa" w:w="3288"/>
            <w:vAlign w:val="center"/>
          </w:tcPr>
          <w:p>
            <w:pPr>
              <w:jc w:val="left"/>
            </w:pPr>
            <w:r/>
            <w:r>
              <w:rPr>
                <w:rFonts w:ascii="Aptos" w:hAnsi="Aptos"/>
                <w:b w:val="0"/>
                <w:sz w:val="15"/>
              </w:rPr>
              <w:t>Equity Naive Sentiment Tilt</w:t>
            </w:r>
          </w:p>
        </w:tc>
        <w:tc>
          <w:tcPr>
            <w:tcW w:type="dxa" w:w="1531"/>
            <w:vAlign w:val="center"/>
          </w:tcPr>
          <w:p>
            <w:pPr>
              <w:jc w:val="left"/>
            </w:pPr>
            <w:r/>
            <w:r>
              <w:rPr>
                <w:rFonts w:ascii="Aptos" w:hAnsi="Aptos"/>
                <w:b w:val="0"/>
                <w:sz w:val="15"/>
              </w:rPr>
              <w:t>2021-01-04</w:t>
            </w:r>
          </w:p>
        </w:tc>
        <w:tc>
          <w:tcPr>
            <w:tcW w:type="dxa" w:w="1531"/>
            <w:vAlign w:val="center"/>
          </w:tcPr>
          <w:p>
            <w:pPr>
              <w:jc w:val="right"/>
            </w:pPr>
            <w:r/>
            <w:r>
              <w:rPr>
                <w:rFonts w:ascii="Aptos" w:hAnsi="Aptos"/>
                <w:b w:val="0"/>
                <w:sz w:val="15"/>
              </w:rPr>
              <w:t>2023-12-29</w:t>
            </w:r>
          </w:p>
        </w:tc>
        <w:tc>
          <w:tcPr>
            <w:tcW w:type="dxa" w:w="1814"/>
            <w:vAlign w:val="center"/>
          </w:tcPr>
          <w:p>
            <w:pPr>
              <w:jc w:val="right"/>
            </w:pPr>
            <w:r/>
            <w:r>
              <w:rPr>
                <w:rFonts w:ascii="Aptos" w:hAnsi="Aptos"/>
                <w:b w:val="0"/>
                <w:sz w:val="15"/>
              </w:rPr>
              <w:t>11.65%</w:t>
            </w:r>
          </w:p>
        </w:tc>
        <w:tc>
          <w:tcPr>
            <w:tcW w:type="dxa" w:w="1814"/>
            <w:vAlign w:val="center"/>
          </w:tcPr>
          <w:p>
            <w:pPr>
              <w:jc w:val="right"/>
            </w:pPr>
            <w:r/>
            <w:r>
              <w:rPr>
                <w:rFonts w:ascii="Aptos" w:hAnsi="Aptos"/>
                <w:b w:val="0"/>
                <w:sz w:val="15"/>
              </w:rPr>
              <w:t>15.97%</w:t>
            </w:r>
          </w:p>
        </w:tc>
        <w:tc>
          <w:tcPr>
            <w:tcW w:type="dxa" w:w="1134"/>
            <w:vAlign w:val="center"/>
          </w:tcPr>
          <w:p>
            <w:pPr>
              <w:jc w:val="right"/>
            </w:pPr>
            <w:r/>
            <w:r>
              <w:rPr>
                <w:rFonts w:ascii="Aptos" w:hAnsi="Aptos"/>
                <w:b w:val="0"/>
                <w:sz w:val="15"/>
              </w:rPr>
              <w:t>0.77</w:t>
            </w:r>
          </w:p>
        </w:tc>
        <w:tc>
          <w:tcPr>
            <w:tcW w:type="dxa" w:w="1701"/>
            <w:vAlign w:val="center"/>
          </w:tcPr>
          <w:p>
            <w:pPr>
              <w:jc w:val="right"/>
            </w:pPr>
            <w:r/>
            <w:r>
              <w:rPr>
                <w:rFonts w:ascii="Aptos" w:hAnsi="Aptos"/>
                <w:b w:val="0"/>
                <w:sz w:val="15"/>
              </w:rPr>
              <w:t>-20.13%</w:t>
            </w:r>
          </w:p>
        </w:tc>
      </w:tr>
      <w:tr>
        <w:trPr>
          <w:cantSplit/>
        </w:trPr>
        <w:tc>
          <w:tcPr>
            <w:tcW w:type="dxa" w:w="3288"/>
            <w:vAlign w:val="center"/>
          </w:tcPr>
          <w:p>
            <w:pPr>
              <w:jc w:val="left"/>
            </w:pPr>
            <w:r/>
            <w:r>
              <w:rPr>
                <w:rFonts w:ascii="Aptos" w:hAnsi="Aptos"/>
                <w:b w:val="0"/>
                <w:sz w:val="15"/>
              </w:rPr>
              <w:t>Equity Coverage-Gated Sentiment Tilt</w:t>
            </w:r>
          </w:p>
        </w:tc>
        <w:tc>
          <w:tcPr>
            <w:tcW w:type="dxa" w:w="1531"/>
            <w:vAlign w:val="center"/>
          </w:tcPr>
          <w:p>
            <w:pPr>
              <w:jc w:val="left"/>
            </w:pPr>
            <w:r/>
            <w:r>
              <w:rPr>
                <w:rFonts w:ascii="Aptos" w:hAnsi="Aptos"/>
                <w:b w:val="0"/>
                <w:sz w:val="15"/>
              </w:rPr>
              <w:t>2021-01-04</w:t>
            </w:r>
          </w:p>
        </w:tc>
        <w:tc>
          <w:tcPr>
            <w:tcW w:type="dxa" w:w="1531"/>
            <w:vAlign w:val="center"/>
          </w:tcPr>
          <w:p>
            <w:pPr>
              <w:jc w:val="right"/>
            </w:pPr>
            <w:r/>
            <w:r>
              <w:rPr>
                <w:rFonts w:ascii="Aptos" w:hAnsi="Aptos"/>
                <w:b w:val="0"/>
                <w:sz w:val="15"/>
              </w:rPr>
              <w:t>2023-12-29</w:t>
            </w:r>
          </w:p>
        </w:tc>
        <w:tc>
          <w:tcPr>
            <w:tcW w:type="dxa" w:w="1814"/>
            <w:vAlign w:val="center"/>
          </w:tcPr>
          <w:p>
            <w:pPr>
              <w:jc w:val="right"/>
            </w:pPr>
            <w:r/>
            <w:r>
              <w:rPr>
                <w:rFonts w:ascii="Aptos" w:hAnsi="Aptos"/>
                <w:b w:val="0"/>
                <w:sz w:val="15"/>
              </w:rPr>
              <w:t>11.91%</w:t>
            </w:r>
          </w:p>
        </w:tc>
        <w:tc>
          <w:tcPr>
            <w:tcW w:type="dxa" w:w="1814"/>
            <w:vAlign w:val="center"/>
          </w:tcPr>
          <w:p>
            <w:pPr>
              <w:jc w:val="right"/>
            </w:pPr>
            <w:r/>
            <w:r>
              <w:rPr>
                <w:rFonts w:ascii="Aptos" w:hAnsi="Aptos"/>
                <w:b w:val="0"/>
                <w:sz w:val="15"/>
              </w:rPr>
              <w:t>16.00%</w:t>
            </w:r>
          </w:p>
        </w:tc>
        <w:tc>
          <w:tcPr>
            <w:tcW w:type="dxa" w:w="1134"/>
            <w:vAlign w:val="center"/>
          </w:tcPr>
          <w:p>
            <w:pPr>
              <w:jc w:val="right"/>
            </w:pPr>
            <w:r/>
            <w:r>
              <w:rPr>
                <w:rFonts w:ascii="Aptos" w:hAnsi="Aptos"/>
                <w:b w:val="0"/>
                <w:sz w:val="15"/>
              </w:rPr>
              <w:t>0.78</w:t>
            </w:r>
          </w:p>
        </w:tc>
        <w:tc>
          <w:tcPr>
            <w:tcW w:type="dxa" w:w="1701"/>
            <w:vAlign w:val="center"/>
          </w:tcPr>
          <w:p>
            <w:pPr>
              <w:jc w:val="right"/>
            </w:pPr>
            <w:r/>
            <w:r>
              <w:rPr>
                <w:rFonts w:ascii="Aptos" w:hAnsi="Aptos"/>
                <w:b w:val="0"/>
                <w:sz w:val="15"/>
              </w:rPr>
              <w:t>-20.14%</w:t>
            </w:r>
          </w:p>
        </w:tc>
      </w:tr>
      <w:tr>
        <w:trPr>
          <w:cantSplit/>
        </w:trPr>
        <w:tc>
          <w:tcPr>
            <w:tcW w:type="dxa" w:w="3288"/>
            <w:vAlign w:val="center"/>
          </w:tcPr>
          <w:p>
            <w:pPr>
              <w:jc w:val="left"/>
            </w:pPr>
            <w:r/>
            <w:r>
              <w:rPr>
                <w:rFonts w:ascii="Aptos" w:hAnsi="Aptos"/>
                <w:b w:val="0"/>
                <w:sz w:val="15"/>
              </w:rPr>
              <w:t>Crypto Equal Weight</w:t>
            </w:r>
          </w:p>
        </w:tc>
        <w:tc>
          <w:tcPr>
            <w:tcW w:type="dxa" w:w="1531"/>
            <w:vAlign w:val="center"/>
          </w:tcPr>
          <w:p>
            <w:pPr>
              <w:jc w:val="left"/>
            </w:pPr>
            <w:r/>
            <w:r>
              <w:rPr>
                <w:rFonts w:ascii="Aptos" w:hAnsi="Aptos"/>
                <w:b w:val="0"/>
                <w:sz w:val="15"/>
              </w:rPr>
              <w:t>2021-01-01</w:t>
            </w:r>
          </w:p>
        </w:tc>
        <w:tc>
          <w:tcPr>
            <w:tcW w:type="dxa" w:w="1531"/>
            <w:vAlign w:val="center"/>
          </w:tcPr>
          <w:p>
            <w:pPr>
              <w:jc w:val="right"/>
            </w:pPr>
            <w:r/>
            <w:r>
              <w:rPr>
                <w:rFonts w:ascii="Aptos" w:hAnsi="Aptos"/>
                <w:b w:val="0"/>
                <w:sz w:val="15"/>
              </w:rPr>
              <w:t>2023-12-31</w:t>
            </w:r>
          </w:p>
        </w:tc>
        <w:tc>
          <w:tcPr>
            <w:tcW w:type="dxa" w:w="1814"/>
            <w:vAlign w:val="center"/>
          </w:tcPr>
          <w:p>
            <w:pPr>
              <w:jc w:val="right"/>
            </w:pPr>
            <w:r/>
            <w:r>
              <w:rPr>
                <w:rFonts w:ascii="Aptos" w:hAnsi="Aptos"/>
                <w:b w:val="0"/>
                <w:sz w:val="15"/>
              </w:rPr>
              <w:t>40.41%</w:t>
            </w:r>
          </w:p>
        </w:tc>
        <w:tc>
          <w:tcPr>
            <w:tcW w:type="dxa" w:w="1814"/>
            <w:vAlign w:val="center"/>
          </w:tcPr>
          <w:p>
            <w:pPr>
              <w:jc w:val="right"/>
            </w:pPr>
            <w:r/>
            <w:r>
              <w:rPr>
                <w:rFonts w:ascii="Aptos" w:hAnsi="Aptos"/>
                <w:b w:val="0"/>
                <w:sz w:val="15"/>
              </w:rPr>
              <w:t>81.89%</w:t>
            </w:r>
          </w:p>
        </w:tc>
        <w:tc>
          <w:tcPr>
            <w:tcW w:type="dxa" w:w="1134"/>
            <w:vAlign w:val="center"/>
          </w:tcPr>
          <w:p>
            <w:pPr>
              <w:jc w:val="right"/>
            </w:pPr>
            <w:r/>
            <w:r>
              <w:rPr>
                <w:rFonts w:ascii="Aptos" w:hAnsi="Aptos"/>
                <w:b w:val="0"/>
                <w:sz w:val="15"/>
              </w:rPr>
              <w:t>0.83</w:t>
            </w:r>
          </w:p>
        </w:tc>
        <w:tc>
          <w:tcPr>
            <w:tcW w:type="dxa" w:w="1701"/>
            <w:vAlign w:val="center"/>
          </w:tcPr>
          <w:p>
            <w:pPr>
              <w:jc w:val="right"/>
            </w:pPr>
            <w:r/>
            <w:r>
              <w:rPr>
                <w:rFonts w:ascii="Aptos" w:hAnsi="Aptos"/>
                <w:b w:val="0"/>
                <w:sz w:val="15"/>
              </w:rPr>
              <w:t>-81.59%</w:t>
            </w:r>
          </w:p>
        </w:tc>
      </w:tr>
      <w:tr>
        <w:trPr>
          <w:cantSplit/>
        </w:trPr>
        <w:tc>
          <w:tcPr>
            <w:tcW w:type="dxa" w:w="3288"/>
            <w:vAlign w:val="center"/>
          </w:tcPr>
          <w:p>
            <w:pPr>
              <w:jc w:val="left"/>
            </w:pPr>
            <w:r/>
            <w:r>
              <w:rPr>
                <w:rFonts w:ascii="Aptos" w:hAnsi="Aptos"/>
                <w:b w:val="0"/>
                <w:sz w:val="15"/>
              </w:rPr>
              <w:t>Crypto Minimum Variance</w:t>
            </w:r>
          </w:p>
        </w:tc>
        <w:tc>
          <w:tcPr>
            <w:tcW w:type="dxa" w:w="1531"/>
            <w:vAlign w:val="center"/>
          </w:tcPr>
          <w:p>
            <w:pPr>
              <w:jc w:val="left"/>
            </w:pPr>
            <w:r/>
            <w:r>
              <w:rPr>
                <w:rFonts w:ascii="Aptos" w:hAnsi="Aptos"/>
                <w:b w:val="0"/>
                <w:sz w:val="15"/>
              </w:rPr>
              <w:t>2021-01-01</w:t>
            </w:r>
          </w:p>
        </w:tc>
        <w:tc>
          <w:tcPr>
            <w:tcW w:type="dxa" w:w="1531"/>
            <w:vAlign w:val="center"/>
          </w:tcPr>
          <w:p>
            <w:pPr>
              <w:jc w:val="right"/>
            </w:pPr>
            <w:r/>
            <w:r>
              <w:rPr>
                <w:rFonts w:ascii="Aptos" w:hAnsi="Aptos"/>
                <w:b w:val="0"/>
                <w:sz w:val="15"/>
              </w:rPr>
              <w:t>2023-12-31</w:t>
            </w:r>
          </w:p>
        </w:tc>
        <w:tc>
          <w:tcPr>
            <w:tcW w:type="dxa" w:w="1814"/>
            <w:vAlign w:val="center"/>
          </w:tcPr>
          <w:p>
            <w:pPr>
              <w:jc w:val="right"/>
            </w:pPr>
            <w:r/>
            <w:r>
              <w:rPr>
                <w:rFonts w:ascii="Aptos" w:hAnsi="Aptos"/>
                <w:b w:val="0"/>
                <w:sz w:val="15"/>
              </w:rPr>
              <w:t>49.25%</w:t>
            </w:r>
          </w:p>
        </w:tc>
        <w:tc>
          <w:tcPr>
            <w:tcW w:type="dxa" w:w="1814"/>
            <w:vAlign w:val="center"/>
          </w:tcPr>
          <w:p>
            <w:pPr>
              <w:jc w:val="right"/>
            </w:pPr>
            <w:r/>
            <w:r>
              <w:rPr>
                <w:rFonts w:ascii="Aptos" w:hAnsi="Aptos"/>
                <w:b w:val="0"/>
                <w:sz w:val="15"/>
              </w:rPr>
              <w:t>76.12%</w:t>
            </w:r>
          </w:p>
        </w:tc>
        <w:tc>
          <w:tcPr>
            <w:tcW w:type="dxa" w:w="1134"/>
            <w:vAlign w:val="center"/>
          </w:tcPr>
          <w:p>
            <w:pPr>
              <w:jc w:val="right"/>
            </w:pPr>
            <w:r/>
            <w:r>
              <w:rPr>
                <w:rFonts w:ascii="Aptos" w:hAnsi="Aptos"/>
                <w:b w:val="0"/>
                <w:sz w:val="15"/>
              </w:rPr>
              <w:t>0.91</w:t>
            </w:r>
          </w:p>
        </w:tc>
        <w:tc>
          <w:tcPr>
            <w:tcW w:type="dxa" w:w="1701"/>
            <w:vAlign w:val="center"/>
          </w:tcPr>
          <w:p>
            <w:pPr>
              <w:jc w:val="right"/>
            </w:pPr>
            <w:r/>
            <w:r>
              <w:rPr>
                <w:rFonts w:ascii="Aptos" w:hAnsi="Aptos"/>
                <w:b w:val="0"/>
                <w:sz w:val="15"/>
              </w:rPr>
              <w:t>-73.55%</w:t>
            </w:r>
          </w:p>
        </w:tc>
      </w:tr>
      <w:tr>
        <w:trPr>
          <w:cantSplit/>
        </w:trPr>
        <w:tc>
          <w:tcPr>
            <w:tcW w:type="dxa" w:w="3288"/>
            <w:vAlign w:val="center"/>
          </w:tcPr>
          <w:p>
            <w:pPr>
              <w:jc w:val="left"/>
            </w:pPr>
            <w:r/>
            <w:r>
              <w:rPr>
                <w:rFonts w:ascii="Aptos" w:hAnsi="Aptos"/>
                <w:b w:val="0"/>
                <w:sz w:val="15"/>
              </w:rPr>
              <w:t>Crypto Risk Parity</w:t>
            </w:r>
          </w:p>
        </w:tc>
        <w:tc>
          <w:tcPr>
            <w:tcW w:type="dxa" w:w="1531"/>
            <w:vAlign w:val="center"/>
          </w:tcPr>
          <w:p>
            <w:pPr>
              <w:jc w:val="left"/>
            </w:pPr>
            <w:r/>
            <w:r>
              <w:rPr>
                <w:rFonts w:ascii="Aptos" w:hAnsi="Aptos"/>
                <w:b w:val="0"/>
                <w:sz w:val="15"/>
              </w:rPr>
              <w:t>2021-01-01</w:t>
            </w:r>
          </w:p>
        </w:tc>
        <w:tc>
          <w:tcPr>
            <w:tcW w:type="dxa" w:w="1531"/>
            <w:vAlign w:val="center"/>
          </w:tcPr>
          <w:p>
            <w:pPr>
              <w:jc w:val="right"/>
            </w:pPr>
            <w:r/>
            <w:r>
              <w:rPr>
                <w:rFonts w:ascii="Aptos" w:hAnsi="Aptos"/>
                <w:b w:val="0"/>
                <w:sz w:val="15"/>
              </w:rPr>
              <w:t>2023-12-31</w:t>
            </w:r>
          </w:p>
        </w:tc>
        <w:tc>
          <w:tcPr>
            <w:tcW w:type="dxa" w:w="1814"/>
            <w:vAlign w:val="center"/>
          </w:tcPr>
          <w:p>
            <w:pPr>
              <w:jc w:val="right"/>
            </w:pPr>
            <w:r/>
            <w:r>
              <w:rPr>
                <w:rFonts w:ascii="Aptos" w:hAnsi="Aptos"/>
                <w:b w:val="0"/>
                <w:sz w:val="15"/>
              </w:rPr>
              <w:t>41.69%</w:t>
            </w:r>
          </w:p>
        </w:tc>
        <w:tc>
          <w:tcPr>
            <w:tcW w:type="dxa" w:w="1814"/>
            <w:vAlign w:val="center"/>
          </w:tcPr>
          <w:p>
            <w:pPr>
              <w:jc w:val="right"/>
            </w:pPr>
            <w:r/>
            <w:r>
              <w:rPr>
                <w:rFonts w:ascii="Aptos" w:hAnsi="Aptos"/>
                <w:b w:val="0"/>
                <w:sz w:val="15"/>
              </w:rPr>
              <w:t>80.26%</w:t>
            </w:r>
          </w:p>
        </w:tc>
        <w:tc>
          <w:tcPr>
            <w:tcW w:type="dxa" w:w="1134"/>
            <w:vAlign w:val="center"/>
          </w:tcPr>
          <w:p>
            <w:pPr>
              <w:jc w:val="right"/>
            </w:pPr>
            <w:r/>
            <w:r>
              <w:rPr>
                <w:rFonts w:ascii="Aptos" w:hAnsi="Aptos"/>
                <w:b w:val="0"/>
                <w:sz w:val="15"/>
              </w:rPr>
              <w:t>0.84</w:t>
            </w:r>
          </w:p>
        </w:tc>
        <w:tc>
          <w:tcPr>
            <w:tcW w:type="dxa" w:w="1701"/>
            <w:vAlign w:val="center"/>
          </w:tcPr>
          <w:p>
            <w:pPr>
              <w:jc w:val="right"/>
            </w:pPr>
            <w:r/>
            <w:r>
              <w:rPr>
                <w:rFonts w:ascii="Aptos" w:hAnsi="Aptos"/>
                <w:b w:val="0"/>
                <w:sz w:val="15"/>
              </w:rPr>
              <w:t>-80.49%</w:t>
            </w:r>
          </w:p>
        </w:tc>
      </w:tr>
      <w:tr>
        <w:trPr>
          <w:cantSplit/>
        </w:trPr>
        <w:tc>
          <w:tcPr>
            <w:tcW w:type="dxa" w:w="3288"/>
            <w:vAlign w:val="center"/>
          </w:tcPr>
          <w:p>
            <w:pPr>
              <w:jc w:val="left"/>
            </w:pPr>
            <w:r/>
            <w:r>
              <w:rPr>
                <w:rFonts w:ascii="Aptos" w:hAnsi="Aptos"/>
                <w:b w:val="0"/>
                <w:sz w:val="15"/>
              </w:rPr>
              <w:t>Combined Equal Weight</w:t>
            </w:r>
          </w:p>
        </w:tc>
        <w:tc>
          <w:tcPr>
            <w:tcW w:type="dxa" w:w="1531"/>
            <w:vAlign w:val="center"/>
          </w:tcPr>
          <w:p>
            <w:pPr>
              <w:jc w:val="left"/>
            </w:pPr>
            <w:r/>
            <w:r>
              <w:rPr>
                <w:rFonts w:ascii="Aptos" w:hAnsi="Aptos"/>
                <w:b w:val="0"/>
                <w:sz w:val="15"/>
              </w:rPr>
              <w:t>2021-01-04</w:t>
            </w:r>
          </w:p>
        </w:tc>
        <w:tc>
          <w:tcPr>
            <w:tcW w:type="dxa" w:w="1531"/>
            <w:vAlign w:val="center"/>
          </w:tcPr>
          <w:p>
            <w:pPr>
              <w:jc w:val="right"/>
            </w:pPr>
            <w:r/>
            <w:r>
              <w:rPr>
                <w:rFonts w:ascii="Aptos" w:hAnsi="Aptos"/>
                <w:b w:val="0"/>
                <w:sz w:val="15"/>
              </w:rPr>
              <w:t>2023-12-29</w:t>
            </w:r>
          </w:p>
        </w:tc>
        <w:tc>
          <w:tcPr>
            <w:tcW w:type="dxa" w:w="1814"/>
            <w:vAlign w:val="center"/>
          </w:tcPr>
          <w:p>
            <w:pPr>
              <w:jc w:val="right"/>
            </w:pPr>
            <w:r/>
            <w:r>
              <w:rPr>
                <w:rFonts w:ascii="Aptos" w:hAnsi="Aptos"/>
                <w:b w:val="0"/>
                <w:sz w:val="15"/>
              </w:rPr>
              <w:t>15.08%</w:t>
            </w:r>
          </w:p>
        </w:tc>
        <w:tc>
          <w:tcPr>
            <w:tcW w:type="dxa" w:w="1814"/>
            <w:vAlign w:val="center"/>
          </w:tcPr>
          <w:p>
            <w:pPr>
              <w:jc w:val="right"/>
            </w:pPr>
            <w:r/>
            <w:r>
              <w:rPr>
                <w:rFonts w:ascii="Aptos" w:hAnsi="Aptos"/>
                <w:b w:val="0"/>
                <w:sz w:val="15"/>
              </w:rPr>
              <w:t>21.60%</w:t>
            </w:r>
          </w:p>
        </w:tc>
        <w:tc>
          <w:tcPr>
            <w:tcW w:type="dxa" w:w="1134"/>
            <w:vAlign w:val="center"/>
          </w:tcPr>
          <w:p>
            <w:pPr>
              <w:jc w:val="right"/>
            </w:pPr>
            <w:r/>
            <w:r>
              <w:rPr>
                <w:rFonts w:ascii="Aptos" w:hAnsi="Aptos"/>
                <w:b w:val="0"/>
                <w:sz w:val="15"/>
              </w:rPr>
              <w:t>0.76</w:t>
            </w:r>
          </w:p>
        </w:tc>
        <w:tc>
          <w:tcPr>
            <w:tcW w:type="dxa" w:w="1701"/>
            <w:vAlign w:val="center"/>
          </w:tcPr>
          <w:p>
            <w:pPr>
              <w:jc w:val="right"/>
            </w:pPr>
            <w:r/>
            <w:r>
              <w:rPr>
                <w:rFonts w:ascii="Aptos" w:hAnsi="Aptos"/>
                <w:b w:val="0"/>
                <w:sz w:val="15"/>
              </w:rPr>
              <w:t>-27.90%</w:t>
            </w:r>
          </w:p>
        </w:tc>
      </w:tr>
      <w:tr>
        <w:trPr>
          <w:cantSplit/>
        </w:trPr>
        <w:tc>
          <w:tcPr>
            <w:tcW w:type="dxa" w:w="3288"/>
            <w:vAlign w:val="center"/>
          </w:tcPr>
          <w:p>
            <w:pPr>
              <w:jc w:val="left"/>
            </w:pPr>
            <w:r/>
            <w:r>
              <w:rPr>
                <w:rFonts w:ascii="Aptos" w:hAnsi="Aptos"/>
                <w:b w:val="0"/>
                <w:sz w:val="15"/>
              </w:rPr>
              <w:t>Combined Minimum Variance</w:t>
            </w:r>
          </w:p>
        </w:tc>
        <w:tc>
          <w:tcPr>
            <w:tcW w:type="dxa" w:w="1531"/>
            <w:vAlign w:val="center"/>
          </w:tcPr>
          <w:p>
            <w:pPr>
              <w:jc w:val="left"/>
            </w:pPr>
            <w:r/>
            <w:r>
              <w:rPr>
                <w:rFonts w:ascii="Aptos" w:hAnsi="Aptos"/>
                <w:b w:val="0"/>
                <w:sz w:val="15"/>
              </w:rPr>
              <w:t>2021-01-04</w:t>
            </w:r>
          </w:p>
        </w:tc>
        <w:tc>
          <w:tcPr>
            <w:tcW w:type="dxa" w:w="1531"/>
            <w:vAlign w:val="center"/>
          </w:tcPr>
          <w:p>
            <w:pPr>
              <w:jc w:val="right"/>
            </w:pPr>
            <w:r/>
            <w:r>
              <w:rPr>
                <w:rFonts w:ascii="Aptos" w:hAnsi="Aptos"/>
                <w:b w:val="0"/>
                <w:sz w:val="15"/>
              </w:rPr>
              <w:t>2023-12-29</w:t>
            </w:r>
          </w:p>
        </w:tc>
        <w:tc>
          <w:tcPr>
            <w:tcW w:type="dxa" w:w="1814"/>
            <w:vAlign w:val="center"/>
          </w:tcPr>
          <w:p>
            <w:pPr>
              <w:jc w:val="right"/>
            </w:pPr>
            <w:r/>
            <w:r>
              <w:rPr>
                <w:rFonts w:ascii="Aptos" w:hAnsi="Aptos"/>
                <w:b w:val="0"/>
                <w:sz w:val="15"/>
              </w:rPr>
              <w:t>7.05%</w:t>
            </w:r>
          </w:p>
        </w:tc>
        <w:tc>
          <w:tcPr>
            <w:tcW w:type="dxa" w:w="1814"/>
            <w:vAlign w:val="center"/>
          </w:tcPr>
          <w:p>
            <w:pPr>
              <w:jc w:val="right"/>
            </w:pPr>
            <w:r/>
            <w:r>
              <w:rPr>
                <w:rFonts w:ascii="Aptos" w:hAnsi="Aptos"/>
                <w:b w:val="0"/>
                <w:sz w:val="15"/>
              </w:rPr>
              <w:t>12.72%</w:t>
            </w:r>
          </w:p>
        </w:tc>
        <w:tc>
          <w:tcPr>
            <w:tcW w:type="dxa" w:w="1134"/>
            <w:vAlign w:val="center"/>
          </w:tcPr>
          <w:p>
            <w:pPr>
              <w:jc w:val="right"/>
            </w:pPr>
            <w:r/>
            <w:r>
              <w:rPr>
                <w:rFonts w:ascii="Aptos" w:hAnsi="Aptos"/>
                <w:b w:val="0"/>
                <w:sz w:val="15"/>
              </w:rPr>
              <w:t>0.60</w:t>
            </w:r>
          </w:p>
        </w:tc>
        <w:tc>
          <w:tcPr>
            <w:tcW w:type="dxa" w:w="1701"/>
            <w:vAlign w:val="center"/>
          </w:tcPr>
          <w:p>
            <w:pPr>
              <w:jc w:val="right"/>
            </w:pPr>
            <w:r/>
            <w:r>
              <w:rPr>
                <w:rFonts w:ascii="Aptos" w:hAnsi="Aptos"/>
                <w:b w:val="0"/>
                <w:sz w:val="15"/>
              </w:rPr>
              <w:t>-17.84%</w:t>
            </w:r>
          </w:p>
        </w:tc>
      </w:tr>
      <w:tr>
        <w:trPr>
          <w:cantSplit/>
        </w:trPr>
        <w:tc>
          <w:tcPr>
            <w:tcW w:type="dxa" w:w="3288"/>
            <w:vAlign w:val="center"/>
          </w:tcPr>
          <w:p>
            <w:pPr>
              <w:jc w:val="left"/>
            </w:pPr>
            <w:r/>
            <w:r>
              <w:rPr>
                <w:rFonts w:ascii="Aptos" w:hAnsi="Aptos"/>
                <w:b w:val="0"/>
                <w:sz w:val="15"/>
              </w:rPr>
              <w:t>Combined Risk Parity</w:t>
            </w:r>
          </w:p>
        </w:tc>
        <w:tc>
          <w:tcPr>
            <w:tcW w:type="dxa" w:w="1531"/>
            <w:vAlign w:val="center"/>
          </w:tcPr>
          <w:p>
            <w:pPr>
              <w:jc w:val="left"/>
            </w:pPr>
            <w:r/>
            <w:r>
              <w:rPr>
                <w:rFonts w:ascii="Aptos" w:hAnsi="Aptos"/>
                <w:b w:val="0"/>
                <w:sz w:val="15"/>
              </w:rPr>
              <w:t>2021-01-04</w:t>
            </w:r>
          </w:p>
        </w:tc>
        <w:tc>
          <w:tcPr>
            <w:tcW w:type="dxa" w:w="1531"/>
            <w:vAlign w:val="center"/>
          </w:tcPr>
          <w:p>
            <w:pPr>
              <w:jc w:val="right"/>
            </w:pPr>
            <w:r/>
            <w:r>
              <w:rPr>
                <w:rFonts w:ascii="Aptos" w:hAnsi="Aptos"/>
                <w:b w:val="0"/>
                <w:sz w:val="15"/>
              </w:rPr>
              <w:t>2023-12-29</w:t>
            </w:r>
          </w:p>
        </w:tc>
        <w:tc>
          <w:tcPr>
            <w:tcW w:type="dxa" w:w="1814"/>
            <w:vAlign w:val="center"/>
          </w:tcPr>
          <w:p>
            <w:pPr>
              <w:jc w:val="right"/>
            </w:pPr>
            <w:r/>
            <w:r>
              <w:rPr>
                <w:rFonts w:ascii="Aptos" w:hAnsi="Aptos"/>
                <w:b w:val="0"/>
                <w:sz w:val="15"/>
              </w:rPr>
              <w:t>12.75%</w:t>
            </w:r>
          </w:p>
        </w:tc>
        <w:tc>
          <w:tcPr>
            <w:tcW w:type="dxa" w:w="1814"/>
            <w:vAlign w:val="center"/>
          </w:tcPr>
          <w:p>
            <w:pPr>
              <w:jc w:val="right"/>
            </w:pPr>
            <w:r/>
            <w:r>
              <w:rPr>
                <w:rFonts w:ascii="Aptos" w:hAnsi="Aptos"/>
                <w:b w:val="0"/>
                <w:sz w:val="15"/>
              </w:rPr>
              <w:t>17.44%</w:t>
            </w:r>
          </w:p>
        </w:tc>
        <w:tc>
          <w:tcPr>
            <w:tcW w:type="dxa" w:w="1134"/>
            <w:vAlign w:val="center"/>
          </w:tcPr>
          <w:p>
            <w:pPr>
              <w:jc w:val="right"/>
            </w:pPr>
            <w:r/>
            <w:r>
              <w:rPr>
                <w:rFonts w:ascii="Aptos" w:hAnsi="Aptos"/>
                <w:b w:val="0"/>
                <w:sz w:val="15"/>
              </w:rPr>
              <w:t>0.78</w:t>
            </w:r>
          </w:p>
        </w:tc>
        <w:tc>
          <w:tcPr>
            <w:tcW w:type="dxa" w:w="1701"/>
            <w:vAlign w:val="center"/>
          </w:tcPr>
          <w:p>
            <w:pPr>
              <w:jc w:val="right"/>
            </w:pPr>
            <w:r/>
            <w:r>
              <w:rPr>
                <w:rFonts w:ascii="Aptos" w:hAnsi="Aptos"/>
                <w:b w:val="0"/>
                <w:sz w:val="15"/>
              </w:rPr>
              <w:t>-22.40%</w:t>
            </w:r>
          </w:p>
        </w:tc>
      </w:tr>
    </w:tbl>
    <w:p/>
    <w:p>
      <w:r>
        <w:br w:type="page"/>
      </w:r>
    </w:p>
    <w:p>
      <w:pPr>
        <w:pStyle w:val="Caption"/>
        <w:keepNext/>
        <w:jc w:val="center"/>
      </w:pPr>
      <w:r>
        <w:rPr>
          <w:color w:val="142640"/>
          <w:sz w:val="17"/>
        </w:rPr>
        <w:t>Appendix Table A4. Plain-VADER headline scoring diagnostics.</w:t>
      </w:r>
    </w:p>
    <w:tbl>
      <w:tblPr>
        <w:tblStyle w:val="TableGrid"/>
        <w:tblW w:type="dxa" w:w="13378"/>
        <w:jc w:val="center"/>
        <w:tblLayout w:type="fixed"/>
        <w:tblLook w:firstColumn="1" w:firstRow="1" w:lastColumn="0" w:lastRow="0" w:noHBand="0" w:noVBand="1" w:val="04A0"/>
      </w:tblPr>
      <w:tblGrid>
        <w:gridCol w:w="1701"/>
        <w:gridCol w:w="1587"/>
        <w:gridCol w:w="1587"/>
        <w:gridCol w:w="1587"/>
        <w:gridCol w:w="1701"/>
        <w:gridCol w:w="1587"/>
        <w:gridCol w:w="1814"/>
        <w:gridCol w:w="1814"/>
      </w:tblGrid>
      <w:tr>
        <w:trPr>
          <w:tblHeader/>
          <w:cantSplit/>
        </w:trPr>
        <w:tc>
          <w:tcPr>
            <w:tcW w:type="dxa" w:w="1701"/>
            <w:vAlign w:val="center"/>
            <w:shd w:fill="F2F4F5"/>
          </w:tcPr>
          <w:p>
            <w:pPr>
              <w:jc w:val="left"/>
            </w:pPr>
            <w:r/>
            <w:r>
              <w:rPr>
                <w:rFonts w:ascii="Aptos" w:hAnsi="Aptos"/>
                <w:b/>
                <w:sz w:val="15"/>
              </w:rPr>
              <w:t>Scored headlines</w:t>
            </w:r>
          </w:p>
        </w:tc>
        <w:tc>
          <w:tcPr>
            <w:tcW w:type="dxa" w:w="1587"/>
            <w:vAlign w:val="center"/>
            <w:shd w:fill="F2F4F5"/>
          </w:tcPr>
          <w:p>
            <w:pPr>
              <w:jc w:val="left"/>
            </w:pPr>
            <w:r/>
            <w:r>
              <w:rPr>
                <w:rFonts w:ascii="Aptos" w:hAnsi="Aptos"/>
                <w:b/>
                <w:sz w:val="15"/>
              </w:rPr>
              <w:t>Positive share</w:t>
            </w:r>
          </w:p>
        </w:tc>
        <w:tc>
          <w:tcPr>
            <w:tcW w:type="dxa" w:w="1587"/>
            <w:vAlign w:val="center"/>
            <w:shd w:fill="F2F4F5"/>
          </w:tcPr>
          <w:p>
            <w:pPr>
              <w:jc w:val="left"/>
            </w:pPr>
            <w:r/>
            <w:r>
              <w:rPr>
                <w:rFonts w:ascii="Aptos" w:hAnsi="Aptos"/>
                <w:b/>
                <w:sz w:val="15"/>
              </w:rPr>
              <w:t>Neutral share</w:t>
            </w:r>
          </w:p>
        </w:tc>
        <w:tc>
          <w:tcPr>
            <w:tcW w:type="dxa" w:w="1587"/>
            <w:vAlign w:val="center"/>
            <w:shd w:fill="F2F4F5"/>
          </w:tcPr>
          <w:p>
            <w:pPr>
              <w:jc w:val="left"/>
            </w:pPr>
            <w:r/>
            <w:r>
              <w:rPr>
                <w:rFonts w:ascii="Aptos" w:hAnsi="Aptos"/>
                <w:b/>
                <w:sz w:val="15"/>
              </w:rPr>
              <w:t>Negative share</w:t>
            </w:r>
          </w:p>
        </w:tc>
        <w:tc>
          <w:tcPr>
            <w:tcW w:type="dxa" w:w="1701"/>
            <w:vAlign w:val="center"/>
            <w:shd w:fill="F2F4F5"/>
          </w:tcPr>
          <w:p>
            <w:pPr>
              <w:jc w:val="left"/>
            </w:pPr>
            <w:r/>
            <w:r>
              <w:rPr>
                <w:rFonts w:ascii="Aptos" w:hAnsi="Aptos"/>
                <w:b/>
                <w:sz w:val="15"/>
              </w:rPr>
              <w:t>Exact-zero share</w:t>
            </w:r>
          </w:p>
        </w:tc>
        <w:tc>
          <w:tcPr>
            <w:tcW w:type="dxa" w:w="1587"/>
            <w:vAlign w:val="center"/>
            <w:shd w:fill="F2F4F5"/>
          </w:tcPr>
          <w:p>
            <w:pPr>
              <w:jc w:val="left"/>
            </w:pPr>
            <w:r/>
            <w:r>
              <w:rPr>
                <w:rFonts w:ascii="Aptos" w:hAnsi="Aptos"/>
                <w:b/>
                <w:sz w:val="15"/>
              </w:rPr>
              <w:t>Ticker-days</w:t>
            </w:r>
          </w:p>
        </w:tc>
        <w:tc>
          <w:tcPr>
            <w:tcW w:type="dxa" w:w="1814"/>
            <w:vAlign w:val="center"/>
            <w:shd w:fill="F2F4F5"/>
          </w:tcPr>
          <w:p>
            <w:pPr>
              <w:jc w:val="left"/>
            </w:pPr>
            <w:r/>
            <w:r>
              <w:rPr>
                <w:rFonts w:ascii="Aptos" w:hAnsi="Aptos"/>
                <w:b/>
                <w:sz w:val="15"/>
              </w:rPr>
              <w:t>Sector-days with news</w:t>
            </w:r>
          </w:p>
        </w:tc>
        <w:tc>
          <w:tcPr>
            <w:tcW w:type="dxa" w:w="1814"/>
            <w:vAlign w:val="center"/>
            <w:shd w:fill="F2F4F5"/>
          </w:tcPr>
          <w:p>
            <w:pPr>
              <w:jc w:val="left"/>
            </w:pPr>
            <w:r/>
            <w:r>
              <w:rPr>
                <w:rFonts w:ascii="Aptos" w:hAnsi="Aptos"/>
                <w:b/>
                <w:sz w:val="15"/>
              </w:rPr>
              <w:t>Sector-days without news</w:t>
            </w:r>
          </w:p>
        </w:tc>
      </w:tr>
      <w:tr>
        <w:trPr>
          <w:cantSplit/>
        </w:trPr>
        <w:tc>
          <w:tcPr>
            <w:tcW w:type="dxa" w:w="1701"/>
            <w:vAlign w:val="center"/>
          </w:tcPr>
          <w:p>
            <w:pPr>
              <w:jc w:val="left"/>
            </w:pPr>
            <w:r/>
            <w:r>
              <w:rPr>
                <w:rFonts w:ascii="Aptos" w:hAnsi="Aptos"/>
                <w:b w:val="0"/>
                <w:sz w:val="15"/>
              </w:rPr>
              <w:t>146,830</w:t>
            </w:r>
          </w:p>
        </w:tc>
        <w:tc>
          <w:tcPr>
            <w:tcW w:type="dxa" w:w="1587"/>
            <w:vAlign w:val="center"/>
          </w:tcPr>
          <w:p>
            <w:pPr>
              <w:jc w:val="left"/>
            </w:pPr>
            <w:r/>
            <w:r>
              <w:rPr>
                <w:rFonts w:ascii="Aptos" w:hAnsi="Aptos"/>
                <w:b w:val="0"/>
                <w:sz w:val="15"/>
              </w:rPr>
              <w:t>37.44%</w:t>
            </w:r>
          </w:p>
        </w:tc>
        <w:tc>
          <w:tcPr>
            <w:tcW w:type="dxa" w:w="1587"/>
            <w:vAlign w:val="center"/>
          </w:tcPr>
          <w:p>
            <w:pPr>
              <w:jc w:val="right"/>
            </w:pPr>
            <w:r/>
            <w:r>
              <w:rPr>
                <w:rFonts w:ascii="Aptos" w:hAnsi="Aptos"/>
                <w:b w:val="0"/>
                <w:sz w:val="15"/>
              </w:rPr>
              <w:t>49.57%</w:t>
            </w:r>
          </w:p>
        </w:tc>
        <w:tc>
          <w:tcPr>
            <w:tcW w:type="dxa" w:w="1587"/>
            <w:vAlign w:val="center"/>
          </w:tcPr>
          <w:p>
            <w:pPr>
              <w:jc w:val="right"/>
            </w:pPr>
            <w:r/>
            <w:r>
              <w:rPr>
                <w:rFonts w:ascii="Aptos" w:hAnsi="Aptos"/>
                <w:b w:val="0"/>
                <w:sz w:val="15"/>
              </w:rPr>
              <w:t>12.98%</w:t>
            </w:r>
          </w:p>
        </w:tc>
        <w:tc>
          <w:tcPr>
            <w:tcW w:type="dxa" w:w="1701"/>
            <w:vAlign w:val="center"/>
          </w:tcPr>
          <w:p>
            <w:pPr>
              <w:jc w:val="right"/>
            </w:pPr>
            <w:r/>
            <w:r>
              <w:rPr>
                <w:rFonts w:ascii="Aptos" w:hAnsi="Aptos"/>
                <w:b w:val="0"/>
                <w:sz w:val="15"/>
              </w:rPr>
              <w:t>48.85%</w:t>
            </w:r>
          </w:p>
        </w:tc>
        <w:tc>
          <w:tcPr>
            <w:tcW w:type="dxa" w:w="1587"/>
            <w:vAlign w:val="center"/>
          </w:tcPr>
          <w:p>
            <w:pPr>
              <w:jc w:val="right"/>
            </w:pPr>
            <w:r/>
            <w:r>
              <w:rPr>
                <w:rFonts w:ascii="Aptos" w:hAnsi="Aptos"/>
                <w:b w:val="0"/>
                <w:sz w:val="15"/>
              </w:rPr>
              <w:t>37,962</w:t>
            </w:r>
          </w:p>
        </w:tc>
        <w:tc>
          <w:tcPr>
            <w:tcW w:type="dxa" w:w="1814"/>
            <w:vAlign w:val="center"/>
          </w:tcPr>
          <w:p>
            <w:pPr>
              <w:jc w:val="right"/>
            </w:pPr>
            <w:r/>
            <w:r>
              <w:rPr>
                <w:rFonts w:ascii="Aptos" w:hAnsi="Aptos"/>
                <w:b w:val="0"/>
                <w:sz w:val="15"/>
              </w:rPr>
              <w:t>9,832</w:t>
            </w:r>
          </w:p>
        </w:tc>
        <w:tc>
          <w:tcPr>
            <w:tcW w:type="dxa" w:w="1814"/>
            <w:vAlign w:val="center"/>
          </w:tcPr>
          <w:p>
            <w:pPr>
              <w:jc w:val="right"/>
            </w:pPr>
            <w:r/>
            <w:r>
              <w:rPr>
                <w:rFonts w:ascii="Aptos" w:hAnsi="Aptos"/>
                <w:b w:val="0"/>
                <w:sz w:val="15"/>
              </w:rPr>
              <w:t>228</w:t>
            </w:r>
          </w:p>
        </w:tc>
      </w:tr>
    </w:tbl>
    <w:p/>
    <w:p>
      <w:pPr>
        <w:pStyle w:val="Caption"/>
        <w:keepNext/>
        <w:jc w:val="center"/>
      </w:pPr>
      <w:r>
        <w:rPr>
          <w:color w:val="142640"/>
          <w:sz w:val="17"/>
        </w:rPr>
        <w:t>Appendix Table A5. Monthly sentiment-return rank-correlation diagnostics.</w:t>
      </w:r>
    </w:p>
    <w:tbl>
      <w:tblPr>
        <w:tblStyle w:val="TableGrid"/>
        <w:tblW w:type="dxa" w:w="12018"/>
        <w:jc w:val="center"/>
        <w:tblLayout w:type="fixed"/>
        <w:tblLook w:firstColumn="1" w:firstRow="1" w:lastColumn="0" w:lastRow="0" w:noHBand="0" w:noVBand="1" w:val="04A0"/>
      </w:tblPr>
      <w:tblGrid>
        <w:gridCol w:w="3005"/>
        <w:gridCol w:w="1701"/>
        <w:gridCol w:w="2381"/>
        <w:gridCol w:w="1417"/>
        <w:gridCol w:w="1417"/>
        <w:gridCol w:w="2097"/>
      </w:tblGrid>
      <w:tr>
        <w:trPr>
          <w:tblHeader/>
          <w:cantSplit/>
        </w:trPr>
        <w:tc>
          <w:tcPr>
            <w:tcW w:type="dxa" w:w="3005"/>
            <w:vAlign w:val="center"/>
            <w:shd w:fill="F2F4F5"/>
          </w:tcPr>
          <w:p>
            <w:pPr>
              <w:jc w:val="left"/>
            </w:pPr>
            <w:r/>
            <w:r>
              <w:rPr>
                <w:rFonts w:ascii="Aptos" w:hAnsi="Aptos"/>
                <w:b/>
                <w:sz w:val="15"/>
              </w:rPr>
              <w:t>Sample</w:t>
            </w:r>
          </w:p>
        </w:tc>
        <w:tc>
          <w:tcPr>
            <w:tcW w:type="dxa" w:w="1701"/>
            <w:vAlign w:val="center"/>
            <w:shd w:fill="F2F4F5"/>
          </w:tcPr>
          <w:p>
            <w:pPr>
              <w:jc w:val="left"/>
            </w:pPr>
            <w:r/>
            <w:r>
              <w:rPr>
                <w:rFonts w:ascii="Aptos" w:hAnsi="Aptos"/>
                <w:b/>
                <w:sz w:val="15"/>
              </w:rPr>
              <w:t>Pooled Spearman</w:t>
            </w:r>
          </w:p>
        </w:tc>
        <w:tc>
          <w:tcPr>
            <w:tcW w:type="dxa" w:w="2381"/>
            <w:vAlign w:val="center"/>
            <w:shd w:fill="F2F4F5"/>
          </w:tcPr>
          <w:p>
            <w:pPr>
              <w:jc w:val="left"/>
            </w:pPr>
            <w:r/>
            <w:r>
              <w:rPr>
                <w:rFonts w:ascii="Aptos" w:hAnsi="Aptos"/>
                <w:b/>
                <w:sz w:val="15"/>
              </w:rPr>
              <w:t>Average monthly Spearman</w:t>
            </w:r>
          </w:p>
        </w:tc>
        <w:tc>
          <w:tcPr>
            <w:tcW w:type="dxa" w:w="1417"/>
            <w:vAlign w:val="center"/>
            <w:shd w:fill="F2F4F5"/>
          </w:tcPr>
          <w:p>
            <w:pPr>
              <w:jc w:val="left"/>
            </w:pPr>
            <w:r/>
            <w:r>
              <w:rPr>
                <w:rFonts w:ascii="Aptos" w:hAnsi="Aptos"/>
                <w:b/>
                <w:sz w:val="15"/>
              </w:rPr>
              <w:t>Monthly obs.</w:t>
            </w:r>
          </w:p>
        </w:tc>
        <w:tc>
          <w:tcPr>
            <w:tcW w:type="dxa" w:w="1417"/>
            <w:vAlign w:val="center"/>
            <w:shd w:fill="F2F4F5"/>
          </w:tcPr>
          <w:p>
            <w:pPr>
              <w:jc w:val="left"/>
            </w:pPr>
            <w:r/>
            <w:r>
              <w:rPr>
                <w:rFonts w:ascii="Aptos" w:hAnsi="Aptos"/>
                <w:b/>
                <w:sz w:val="15"/>
              </w:rPr>
              <w:t>Pair obs.</w:t>
            </w:r>
          </w:p>
        </w:tc>
        <w:tc>
          <w:tcPr>
            <w:tcW w:type="dxa" w:w="2098"/>
            <w:vAlign w:val="center"/>
            <w:shd w:fill="F2F4F5"/>
          </w:tcPr>
          <w:p>
            <w:pPr>
              <w:jc w:val="left"/>
            </w:pPr>
            <w:r/>
            <w:r>
              <w:rPr>
                <w:rFonts w:ascii="Aptos" w:hAnsi="Aptos"/>
                <w:b/>
                <w:sz w:val="15"/>
              </w:rPr>
              <w:t>Median coverage quality</w:t>
            </w:r>
          </w:p>
        </w:tc>
      </w:tr>
      <w:tr>
        <w:trPr>
          <w:cantSplit/>
        </w:trPr>
        <w:tc>
          <w:tcPr>
            <w:tcW w:type="dxa" w:w="3005"/>
            <w:vAlign w:val="center"/>
          </w:tcPr>
          <w:p>
            <w:pPr>
              <w:jc w:val="left"/>
            </w:pPr>
            <w:r/>
            <w:r>
              <w:rPr>
                <w:rFonts w:ascii="Aptos" w:hAnsi="Aptos"/>
                <w:b w:val="0"/>
                <w:sz w:val="15"/>
              </w:rPr>
              <w:t>All valid observations</w:t>
            </w:r>
          </w:p>
        </w:tc>
        <w:tc>
          <w:tcPr>
            <w:tcW w:type="dxa" w:w="1701"/>
            <w:vAlign w:val="center"/>
          </w:tcPr>
          <w:p>
            <w:pPr>
              <w:jc w:val="left"/>
            </w:pPr>
            <w:r/>
            <w:r>
              <w:rPr>
                <w:rFonts w:ascii="Aptos" w:hAnsi="Aptos"/>
                <w:b w:val="0"/>
                <w:sz w:val="15"/>
              </w:rPr>
              <w:t>-0.0705</w:t>
            </w:r>
          </w:p>
        </w:tc>
        <w:tc>
          <w:tcPr>
            <w:tcW w:type="dxa" w:w="2381"/>
            <w:vAlign w:val="center"/>
          </w:tcPr>
          <w:p>
            <w:pPr>
              <w:jc w:val="right"/>
            </w:pPr>
            <w:r/>
            <w:r>
              <w:rPr>
                <w:rFonts w:ascii="Aptos" w:hAnsi="Aptos"/>
                <w:b w:val="0"/>
                <w:sz w:val="15"/>
              </w:rPr>
              <w:t>-0.1145</w:t>
            </w:r>
          </w:p>
        </w:tc>
        <w:tc>
          <w:tcPr>
            <w:tcW w:type="dxa" w:w="1417"/>
            <w:vAlign w:val="center"/>
          </w:tcPr>
          <w:p>
            <w:pPr>
              <w:jc w:val="right"/>
            </w:pPr>
            <w:r/>
            <w:r>
              <w:rPr>
                <w:rFonts w:ascii="Aptos" w:hAnsi="Aptos"/>
                <w:b w:val="0"/>
                <w:sz w:val="15"/>
              </w:rPr>
              <w:t>36</w:t>
            </w:r>
          </w:p>
        </w:tc>
        <w:tc>
          <w:tcPr>
            <w:tcW w:type="dxa" w:w="1417"/>
            <w:vAlign w:val="center"/>
          </w:tcPr>
          <w:p>
            <w:pPr>
              <w:jc w:val="right"/>
            </w:pPr>
            <w:r/>
            <w:r>
              <w:rPr>
                <w:rFonts w:ascii="Aptos" w:hAnsi="Aptos"/>
                <w:b w:val="0"/>
                <w:sz w:val="15"/>
              </w:rPr>
              <w:t>360</w:t>
            </w:r>
          </w:p>
        </w:tc>
        <w:tc>
          <w:tcPr>
            <w:tcW w:type="dxa" w:w="2098"/>
            <w:vAlign w:val="center"/>
          </w:tcPr>
          <w:p>
            <w:pPr>
              <w:jc w:val="right"/>
            </w:pPr>
            <w:r/>
            <w:r>
              <w:rPr>
                <w:rFonts w:ascii="Aptos" w:hAnsi="Aptos"/>
                <w:b w:val="0"/>
                <w:sz w:val="15"/>
              </w:rPr>
              <w:t>0.8163</w:t>
            </w:r>
          </w:p>
        </w:tc>
      </w:tr>
      <w:tr>
        <w:trPr>
          <w:cantSplit/>
        </w:trPr>
        <w:tc>
          <w:tcPr>
            <w:tcW w:type="dxa" w:w="3005"/>
            <w:vAlign w:val="center"/>
          </w:tcPr>
          <w:p>
            <w:pPr>
              <w:jc w:val="left"/>
            </w:pPr>
            <w:r/>
            <w:r>
              <w:rPr>
                <w:rFonts w:ascii="Aptos" w:hAnsi="Aptos"/>
                <w:b w:val="0"/>
                <w:sz w:val="15"/>
              </w:rPr>
              <w:t>Above-median coverage quality</w:t>
            </w:r>
          </w:p>
        </w:tc>
        <w:tc>
          <w:tcPr>
            <w:tcW w:type="dxa" w:w="1701"/>
            <w:vAlign w:val="center"/>
          </w:tcPr>
          <w:p>
            <w:pPr>
              <w:jc w:val="left"/>
            </w:pPr>
            <w:r/>
            <w:r>
              <w:rPr>
                <w:rFonts w:ascii="Aptos" w:hAnsi="Aptos"/>
                <w:b w:val="0"/>
                <w:sz w:val="15"/>
              </w:rPr>
              <w:t>-0.0398</w:t>
            </w:r>
          </w:p>
        </w:tc>
        <w:tc>
          <w:tcPr>
            <w:tcW w:type="dxa" w:w="2381"/>
            <w:vAlign w:val="center"/>
          </w:tcPr>
          <w:p>
            <w:pPr>
              <w:jc w:val="right"/>
            </w:pPr>
            <w:r/>
            <w:r>
              <w:rPr>
                <w:rFonts w:ascii="Aptos" w:hAnsi="Aptos"/>
                <w:b w:val="0"/>
                <w:sz w:val="15"/>
              </w:rPr>
              <w:t>-0.1118</w:t>
            </w:r>
          </w:p>
        </w:tc>
        <w:tc>
          <w:tcPr>
            <w:tcW w:type="dxa" w:w="1417"/>
            <w:vAlign w:val="center"/>
          </w:tcPr>
          <w:p>
            <w:pPr>
              <w:jc w:val="right"/>
            </w:pPr>
            <w:r/>
            <w:r>
              <w:rPr>
                <w:rFonts w:ascii="Aptos" w:hAnsi="Aptos"/>
                <w:b w:val="0"/>
                <w:sz w:val="15"/>
              </w:rPr>
              <w:t>36</w:t>
            </w:r>
          </w:p>
        </w:tc>
        <w:tc>
          <w:tcPr>
            <w:tcW w:type="dxa" w:w="1417"/>
            <w:vAlign w:val="center"/>
          </w:tcPr>
          <w:p>
            <w:pPr>
              <w:jc w:val="right"/>
            </w:pPr>
            <w:r/>
            <w:r>
              <w:rPr>
                <w:rFonts w:ascii="Aptos" w:hAnsi="Aptos"/>
                <w:b w:val="0"/>
                <w:sz w:val="15"/>
              </w:rPr>
              <w:t>180</w:t>
            </w:r>
          </w:p>
        </w:tc>
        <w:tc>
          <w:tcPr>
            <w:tcW w:type="dxa" w:w="2098"/>
            <w:vAlign w:val="center"/>
          </w:tcPr>
          <w:p>
            <w:pPr>
              <w:jc w:val="right"/>
            </w:pPr>
            <w:r/>
            <w:r>
              <w:rPr>
                <w:rFonts w:ascii="Aptos" w:hAnsi="Aptos"/>
                <w:b w:val="0"/>
                <w:sz w:val="15"/>
              </w:rPr>
              <w:t>0.8163</w:t>
            </w:r>
          </w:p>
        </w:tc>
      </w:tr>
      <w:tr>
        <w:trPr>
          <w:cantSplit/>
        </w:trPr>
        <w:tc>
          <w:tcPr>
            <w:tcW w:type="dxa" w:w="3005"/>
            <w:vAlign w:val="center"/>
          </w:tcPr>
          <w:p>
            <w:pPr>
              <w:jc w:val="left"/>
            </w:pPr>
            <w:r/>
            <w:r>
              <w:rPr>
                <w:rFonts w:ascii="Aptos" w:hAnsi="Aptos"/>
                <w:b w:val="0"/>
                <w:sz w:val="15"/>
              </w:rPr>
              <w:t>At/below-median coverage quality</w:t>
            </w:r>
          </w:p>
        </w:tc>
        <w:tc>
          <w:tcPr>
            <w:tcW w:type="dxa" w:w="1701"/>
            <w:vAlign w:val="center"/>
          </w:tcPr>
          <w:p>
            <w:pPr>
              <w:jc w:val="left"/>
            </w:pPr>
            <w:r/>
            <w:r>
              <w:rPr>
                <w:rFonts w:ascii="Aptos" w:hAnsi="Aptos"/>
                <w:b w:val="0"/>
                <w:sz w:val="15"/>
              </w:rPr>
              <w:t>-0.0992</w:t>
            </w:r>
          </w:p>
        </w:tc>
        <w:tc>
          <w:tcPr>
            <w:tcW w:type="dxa" w:w="2381"/>
            <w:vAlign w:val="center"/>
          </w:tcPr>
          <w:p>
            <w:pPr>
              <w:jc w:val="right"/>
            </w:pPr>
            <w:r/>
            <w:r>
              <w:rPr>
                <w:rFonts w:ascii="Aptos" w:hAnsi="Aptos"/>
                <w:b w:val="0"/>
                <w:sz w:val="15"/>
              </w:rPr>
              <w:t>-0.1837</w:t>
            </w:r>
          </w:p>
        </w:tc>
        <w:tc>
          <w:tcPr>
            <w:tcW w:type="dxa" w:w="1417"/>
            <w:vAlign w:val="center"/>
          </w:tcPr>
          <w:p>
            <w:pPr>
              <w:jc w:val="right"/>
            </w:pPr>
            <w:r/>
            <w:r>
              <w:rPr>
                <w:rFonts w:ascii="Aptos" w:hAnsi="Aptos"/>
                <w:b w:val="0"/>
                <w:sz w:val="15"/>
              </w:rPr>
              <w:t>36</w:t>
            </w:r>
          </w:p>
        </w:tc>
        <w:tc>
          <w:tcPr>
            <w:tcW w:type="dxa" w:w="1417"/>
            <w:vAlign w:val="center"/>
          </w:tcPr>
          <w:p>
            <w:pPr>
              <w:jc w:val="right"/>
            </w:pPr>
            <w:r/>
            <w:r>
              <w:rPr>
                <w:rFonts w:ascii="Aptos" w:hAnsi="Aptos"/>
                <w:b w:val="0"/>
                <w:sz w:val="15"/>
              </w:rPr>
              <w:t>180</w:t>
            </w:r>
          </w:p>
        </w:tc>
        <w:tc>
          <w:tcPr>
            <w:tcW w:type="dxa" w:w="2098"/>
            <w:vAlign w:val="center"/>
          </w:tcPr>
          <w:p>
            <w:pPr>
              <w:jc w:val="right"/>
            </w:pPr>
            <w:r/>
            <w:r>
              <w:rPr>
                <w:rFonts w:ascii="Aptos" w:hAnsi="Aptos"/>
                <w:b w:val="0"/>
                <w:sz w:val="15"/>
              </w:rPr>
              <w:t>0.8163</w:t>
            </w:r>
          </w:p>
        </w:tc>
      </w:tr>
    </w:tbl>
    <w:p/>
    <w:p>
      <w:pPr>
        <w:ind w:left="170" w:right="170"/>
      </w:pPr>
      <w:r>
        <w:rPr>
          <w:i/>
          <w:sz w:val="17"/>
        </w:rPr>
        <w:t>Note: No formal significance claim is made.</w:t>
      </w:r>
    </w:p>
    <w:p>
      <w:pPr>
        <w:pStyle w:val="Caption"/>
        <w:keepNext/>
        <w:jc w:val="center"/>
      </w:pPr>
      <w:r>
        <w:rPr>
          <w:color w:val="142640"/>
          <w:sz w:val="17"/>
        </w:rPr>
        <w:t>Appendix Table A6. Pipeline validation summary.</w:t>
      </w:r>
    </w:p>
    <w:tbl>
      <w:tblPr>
        <w:tblStyle w:val="TableGrid"/>
        <w:tblW w:type="dxa" w:w="6804"/>
        <w:jc w:val="center"/>
        <w:tblLayout w:type="fixed"/>
        <w:tblLook w:firstColumn="1" w:firstRow="1" w:lastColumn="0" w:lastRow="0" w:noHBand="0" w:noVBand="1" w:val="04A0"/>
      </w:tblPr>
      <w:tblGrid>
        <w:gridCol w:w="3969"/>
        <w:gridCol w:w="2835"/>
      </w:tblGrid>
      <w:tr>
        <w:trPr>
          <w:tblHeader/>
          <w:cantSplit/>
        </w:trPr>
        <w:tc>
          <w:tcPr>
            <w:tcW w:type="dxa" w:w="3969"/>
            <w:vAlign w:val="center"/>
            <w:shd w:fill="F2F4F5"/>
          </w:tcPr>
          <w:p>
            <w:pPr>
              <w:jc w:val="left"/>
            </w:pPr>
            <w:r/>
            <w:r>
              <w:rPr>
                <w:rFonts w:ascii="Aptos" w:hAnsi="Aptos"/>
                <w:b/>
                <w:sz w:val="15"/>
              </w:rPr>
              <w:t>Validation item</w:t>
            </w:r>
          </w:p>
        </w:tc>
        <w:tc>
          <w:tcPr>
            <w:tcW w:type="dxa" w:w="2835"/>
            <w:vAlign w:val="center"/>
            <w:shd w:fill="F2F4F5"/>
          </w:tcPr>
          <w:p>
            <w:pPr>
              <w:jc w:val="left"/>
            </w:pPr>
            <w:r/>
            <w:r>
              <w:rPr>
                <w:rFonts w:ascii="Aptos" w:hAnsi="Aptos"/>
                <w:b/>
                <w:sz w:val="15"/>
              </w:rPr>
              <w:t>Observed</w:t>
            </w:r>
          </w:p>
        </w:tc>
      </w:tr>
      <w:tr>
        <w:trPr>
          <w:cantSplit/>
        </w:trPr>
        <w:tc>
          <w:tcPr>
            <w:tcW w:type="dxa" w:w="3969"/>
            <w:vAlign w:val="center"/>
          </w:tcPr>
          <w:p>
            <w:pPr>
              <w:jc w:val="left"/>
            </w:pPr>
            <w:r/>
            <w:r>
              <w:rPr>
                <w:rFonts w:ascii="Aptos" w:hAnsi="Aptos"/>
                <w:b w:val="0"/>
                <w:sz w:val="15"/>
              </w:rPr>
              <w:t>Total validations</w:t>
            </w:r>
          </w:p>
        </w:tc>
        <w:tc>
          <w:tcPr>
            <w:tcW w:type="dxa" w:w="2835"/>
            <w:vAlign w:val="center"/>
          </w:tcPr>
          <w:p>
            <w:pPr>
              <w:jc w:val="left"/>
            </w:pPr>
            <w:r/>
            <w:r>
              <w:rPr>
                <w:rFonts w:ascii="Aptos" w:hAnsi="Aptos"/>
                <w:b w:val="0"/>
                <w:sz w:val="15"/>
              </w:rPr>
              <w:t>81</w:t>
            </w:r>
          </w:p>
        </w:tc>
      </w:tr>
      <w:tr>
        <w:trPr>
          <w:cantSplit/>
        </w:trPr>
        <w:tc>
          <w:tcPr>
            <w:tcW w:type="dxa" w:w="3969"/>
            <w:vAlign w:val="center"/>
          </w:tcPr>
          <w:p>
            <w:pPr>
              <w:jc w:val="left"/>
            </w:pPr>
            <w:r/>
            <w:r>
              <w:rPr>
                <w:rFonts w:ascii="Aptos" w:hAnsi="Aptos"/>
                <w:b w:val="0"/>
                <w:sz w:val="15"/>
              </w:rPr>
              <w:t>PASS count</w:t>
            </w:r>
          </w:p>
        </w:tc>
        <w:tc>
          <w:tcPr>
            <w:tcW w:type="dxa" w:w="2835"/>
            <w:vAlign w:val="center"/>
          </w:tcPr>
          <w:p>
            <w:pPr>
              <w:jc w:val="left"/>
            </w:pPr>
            <w:r/>
            <w:r>
              <w:rPr>
                <w:rFonts w:ascii="Aptos" w:hAnsi="Aptos"/>
                <w:b w:val="0"/>
                <w:sz w:val="15"/>
              </w:rPr>
              <w:t>81</w:t>
            </w:r>
          </w:p>
        </w:tc>
      </w:tr>
      <w:tr>
        <w:trPr>
          <w:cantSplit/>
        </w:trPr>
        <w:tc>
          <w:tcPr>
            <w:tcW w:type="dxa" w:w="3969"/>
            <w:vAlign w:val="center"/>
          </w:tcPr>
          <w:p>
            <w:pPr>
              <w:jc w:val="left"/>
            </w:pPr>
            <w:r/>
            <w:r>
              <w:rPr>
                <w:rFonts w:ascii="Aptos" w:hAnsi="Aptos"/>
                <w:b w:val="0"/>
                <w:sz w:val="15"/>
              </w:rPr>
              <w:t>FAIL count</w:t>
            </w:r>
          </w:p>
        </w:tc>
        <w:tc>
          <w:tcPr>
            <w:tcW w:type="dxa" w:w="2835"/>
            <w:vAlign w:val="center"/>
          </w:tcPr>
          <w:p>
            <w:pPr>
              <w:jc w:val="left"/>
            </w:pPr>
            <w:r/>
            <w:r>
              <w:rPr>
                <w:rFonts w:ascii="Aptos" w:hAnsi="Aptos"/>
                <w:b w:val="0"/>
                <w:sz w:val="15"/>
              </w:rPr>
              <w:t>0</w:t>
            </w:r>
          </w:p>
        </w:tc>
      </w:tr>
      <w:tr>
        <w:trPr>
          <w:cantSplit/>
        </w:trPr>
        <w:tc>
          <w:tcPr>
            <w:tcW w:type="dxa" w:w="3969"/>
            <w:vAlign w:val="center"/>
          </w:tcPr>
          <w:p>
            <w:pPr>
              <w:jc w:val="left"/>
            </w:pPr>
            <w:r/>
            <w:r>
              <w:rPr>
                <w:rFonts w:ascii="Aptos" w:hAnsi="Aptos"/>
                <w:b w:val="0"/>
                <w:sz w:val="15"/>
              </w:rPr>
              <w:t>Final unique fund count</w:t>
            </w:r>
          </w:p>
        </w:tc>
        <w:tc>
          <w:tcPr>
            <w:tcW w:type="dxa" w:w="2835"/>
            <w:vAlign w:val="center"/>
          </w:tcPr>
          <w:p>
            <w:pPr>
              <w:jc w:val="left"/>
            </w:pPr>
            <w:r/>
            <w:r>
              <w:rPr>
                <w:rFonts w:ascii="Aptos" w:hAnsi="Aptos"/>
                <w:b w:val="0"/>
                <w:sz w:val="15"/>
              </w:rPr>
              <w:t>11</w:t>
            </w:r>
          </w:p>
        </w:tc>
      </w:tr>
      <w:tr>
        <w:trPr>
          <w:cantSplit/>
        </w:trPr>
        <w:tc>
          <w:tcPr>
            <w:tcW w:type="dxa" w:w="3969"/>
            <w:vAlign w:val="center"/>
          </w:tcPr>
          <w:p>
            <w:pPr>
              <w:jc w:val="left"/>
            </w:pPr>
            <w:r/>
            <w:r>
              <w:rPr>
                <w:rFonts w:ascii="Aptos" w:hAnsi="Aptos"/>
                <w:b w:val="0"/>
                <w:sz w:val="15"/>
              </w:rPr>
              <w:t>Final sentiment row count</w:t>
            </w:r>
          </w:p>
        </w:tc>
        <w:tc>
          <w:tcPr>
            <w:tcW w:type="dxa" w:w="2835"/>
            <w:vAlign w:val="center"/>
          </w:tcPr>
          <w:p>
            <w:pPr>
              <w:jc w:val="left"/>
            </w:pPr>
            <w:r/>
            <w:r>
              <w:rPr>
                <w:rFonts w:ascii="Aptos" w:hAnsi="Aptos"/>
                <w:b w:val="0"/>
                <w:sz w:val="15"/>
              </w:rPr>
              <w:t>10,060</w:t>
            </w:r>
          </w:p>
        </w:tc>
      </w:tr>
      <w:tr>
        <w:trPr>
          <w:cantSplit/>
        </w:trPr>
        <w:tc>
          <w:tcPr>
            <w:tcW w:type="dxa" w:w="3969"/>
            <w:vAlign w:val="center"/>
          </w:tcPr>
          <w:p>
            <w:pPr>
              <w:jc w:val="left"/>
            </w:pPr>
            <w:r/>
            <w:r>
              <w:rPr>
                <w:rFonts w:ascii="Aptos" w:hAnsi="Aptos"/>
                <w:b w:val="0"/>
                <w:sz w:val="15"/>
              </w:rPr>
              <w:t>Idempotence result</w:t>
            </w:r>
          </w:p>
        </w:tc>
        <w:tc>
          <w:tcPr>
            <w:tcW w:type="dxa" w:w="2835"/>
            <w:vAlign w:val="center"/>
          </w:tcPr>
          <w:p>
            <w:pPr>
              <w:jc w:val="left"/>
            </w:pPr>
            <w:r/>
            <w:r>
              <w:rPr>
                <w:rFonts w:ascii="Aptos" w:hAnsi="Aptos"/>
                <w:b w:val="0"/>
                <w:sz w:val="15"/>
              </w:rPr>
              <w:t>Not separately reported</w:t>
            </w:r>
          </w:p>
        </w:tc>
      </w:tr>
      <w:tr>
        <w:trPr>
          <w:cantSplit/>
        </w:trPr>
        <w:tc>
          <w:tcPr>
            <w:tcW w:type="dxa" w:w="3969"/>
            <w:vAlign w:val="center"/>
          </w:tcPr>
          <w:p>
            <w:pPr>
              <w:jc w:val="left"/>
            </w:pPr>
            <w:r/>
            <w:r>
              <w:rPr>
                <w:rFonts w:ascii="Aptos" w:hAnsi="Aptos"/>
                <w:b w:val="0"/>
                <w:sz w:val="15"/>
              </w:rPr>
              <w:t>App artifact readiness</w:t>
            </w:r>
          </w:p>
        </w:tc>
        <w:tc>
          <w:tcPr>
            <w:tcW w:type="dxa" w:w="2835"/>
            <w:vAlign w:val="center"/>
          </w:tcPr>
          <w:p>
            <w:pPr>
              <w:jc w:val="left"/>
            </w:pPr>
            <w:r/>
            <w:r>
              <w:rPr>
                <w:rFonts w:ascii="Aptos" w:hAnsi="Aptos"/>
                <w:b w:val="0"/>
                <w:sz w:val="15"/>
              </w:rPr>
              <w:t>9 ready artifacts</w:t>
            </w:r>
          </w:p>
        </w:tc>
      </w:tr>
    </w:tbl>
    <w:p/>
    <w:p>
      <w:pPr>
        <w:ind w:left="170" w:right="170"/>
      </w:pPr>
      <w:r>
        <w:rPr>
          <w:i/>
          <w:sz w:val="17"/>
        </w:rPr>
        <w:t>Note: The complete validation table is included in the submitted project artifacts.</w:t>
      </w:r>
    </w:p>
    <w:sectPr w:rsidR="00FC693F" w:rsidRPr="0006063C" w:rsidSect="00034616">
      <w:headerReference w:type="default" r:id="rId17"/>
      <w:footerReference w:type="default" r:id="rId18"/>
      <w:pgSz w:w="16838" w:h="11906" w:orient="landscape"/>
      <w:pgMar w:top="850" w:right="907" w:bottom="850" w:left="907"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42640"/>
        <w:sz w:val="16"/>
      </w:rPr>
      <w:t>Signal Mosaic | FINS3645 Project 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42640"/>
        <w:sz w:val="16"/>
      </w:rPr>
      <w:t>Signal Mosaic | FINS3645 Project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4264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426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4264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Mosaic: Systematic Multi-Asset Funds with Coverage-Aware News Sentiment</dc:title>
  <dc:subject>FINS3645 Project B</dc:subject>
  <dc:creator>Chenhang Huang</dc:creator>
  <cp:keywords>multi-asset funds, sentiment, Coverage Lens, Streamlit</cp:keywords>
  <dc:description>generated by python-docx</dc:description>
  <cp:lastModifiedBy/>
  <cp:revision>1</cp:revision>
  <dcterms:created xsi:type="dcterms:W3CDTF">2013-12-23T23:15:00Z</dcterms:created>
  <dcterms:modified xsi:type="dcterms:W3CDTF">2013-12-23T23:15:00Z</dcterms:modified>
  <cp:category/>
</cp:coreProperties>
</file>