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0D68F" w14:textId="512A6994" w:rsidR="003F27C9" w:rsidRPr="008A2542" w:rsidRDefault="00000000">
      <w:pPr>
        <w:spacing w:line="480" w:lineRule="auto"/>
        <w:jc w:val="both"/>
      </w:pPr>
      <w:r w:rsidRPr="00527ECF">
        <w:rPr>
          <w:b/>
        </w:rPr>
        <w:t>Supplemental Information</w:t>
      </w:r>
    </w:p>
    <w:p w14:paraId="60F41A18" w14:textId="77777777" w:rsidR="003F27C9" w:rsidRPr="00527ECF" w:rsidRDefault="00000000">
      <w:pPr>
        <w:spacing w:line="480" w:lineRule="auto"/>
        <w:jc w:val="both"/>
        <w:rPr>
          <w:b/>
        </w:rPr>
      </w:pPr>
      <w:r w:rsidRPr="00527ECF">
        <w:rPr>
          <w:b/>
        </w:rPr>
        <w:t>Supplemental Methods</w:t>
      </w:r>
    </w:p>
    <w:p w14:paraId="0F99E503" w14:textId="77777777" w:rsidR="003F27C9" w:rsidRPr="00527ECF" w:rsidRDefault="00000000">
      <w:pPr>
        <w:spacing w:line="480" w:lineRule="auto"/>
        <w:jc w:val="both"/>
        <w:rPr>
          <w:i/>
        </w:rPr>
      </w:pPr>
      <w:r w:rsidRPr="00527ECF">
        <w:rPr>
          <w:i/>
          <w:u w:val="single"/>
        </w:rPr>
        <w:t>Participants</w:t>
      </w:r>
      <w:r w:rsidRPr="00527ECF">
        <w:rPr>
          <w:i/>
        </w:rPr>
        <w:t xml:space="preserve"> </w:t>
      </w:r>
    </w:p>
    <w:p w14:paraId="1DF352D9" w14:textId="564F3E68" w:rsidR="003F27C9" w:rsidRPr="00527ECF" w:rsidRDefault="00000000">
      <w:pPr>
        <w:spacing w:line="480" w:lineRule="auto"/>
        <w:jc w:val="both"/>
      </w:pPr>
      <w:r w:rsidRPr="00527ECF">
        <w:t xml:space="preserve">The total longitudinal sample consisted of 220 scans from 135 participants (6–23 years of age; n= 65 22qDel baseline, 63.1% female; n= 69 TD controls baseline, 49.3% female), recruited from an ongoing longitudinal study at the University of California, Los Angeles (UCLA). A prior cross-sectional study of whole-thalamus FC in 22qDel included a single time point from 79 individuals included in the current longitudinal sample </w:t>
      </w:r>
      <w:r w:rsidRPr="00527ECF">
        <w:fldChar w:fldCharType="begin"/>
      </w:r>
      <w:r w:rsidR="005416AC">
        <w:instrText xml:space="preserve"> ADDIN ZOTERO_ITEM CSL_CITATION {"citationID":"R7x8eC4U","properties":{"formattedCitation":"(1)","plainCitation":"(1)","noteIndex":0},"citationItems":[{"id":1,"uris":["http://zotero.org/users/local/ydeP6pQP/items/7N5MEWN2"],"itemData":{"id":1,"type":"article-journal","abstract":"The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5416AC">
        <w:t>(1)</w:t>
      </w:r>
      <w:r w:rsidRPr="00527ECF">
        <w:fldChar w:fldCharType="end"/>
      </w:r>
      <w:r w:rsidRPr="00527ECF">
        <w:t>. The 22qDel participants all had a molecularly confirmed 22q11.2 deletion. 22qDel and TD participants were statistically matched based on baseline age, sex, handedness, and fMRI motion</w:t>
      </w:r>
      <w:r w:rsidR="00907BF1">
        <w:t xml:space="preserve"> </w:t>
      </w:r>
      <w:r w:rsidRPr="00527ECF">
        <w:t xml:space="preserve">(percent frames flagged based on displacement/intensity thresholds recommended by Power et al. 2012 </w:t>
      </w:r>
      <w:r w:rsidRPr="00527ECF">
        <w:fldChar w:fldCharType="begin"/>
      </w:r>
      <w:r w:rsidR="005416AC">
        <w:instrText xml:space="preserve"> ADDIN ZOTERO_ITEM CSL_CITATION {"citationID":"8G6zJvvK","properties":{"formattedCitation":"(2)","plainCitation":"(2)","noteIndex":0},"citationItems":[{"id":9,"uris":["http://zotero.org/users/local/ydeP6pQP/items/IWMWBTH3"],"itemData":{"id":9,"type":"article-journal","abstract":"Here,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5416AC">
        <w:t>(2)</w:t>
      </w:r>
      <w:r w:rsidRPr="00527ECF">
        <w:fldChar w:fldCharType="end"/>
      </w:r>
      <w:r w:rsidRPr="00527ECF">
        <w:t xml:space="preserve">), as well as mean number of longitudinal visits and interval between visits, using appropriate tests (ANOVA, or chi-squared). Exclusion criteria for all study participants were as follows: significant neurological or medical conditions (unrelated to 22q11.2 deletion) that might affect brain structure, history of head injury with loss of consciousness, insufficient fluency in English, and/or substance or alcohol use disorder within the past 6 months. As we aimed to include a representative cohort of CNV carriers, patients with cardiac-related issues were not excluded, as this is a hallmark of 22qDel. Healthy controls were free from significant intellectual disability and did not meet criteria for any psychiatric disorder, with the exception of attention deficit-hyperactivity disorder or a past episode of depression, due to their prevalence in childhood and adolescence </w:t>
      </w:r>
      <w:r w:rsidRPr="00527ECF">
        <w:fldChar w:fldCharType="begin"/>
      </w:r>
      <w:r w:rsidR="005416AC">
        <w:instrText xml:space="preserve"> ADDIN ZOTERO_ITEM CSL_CITATION {"citationID":"Q700SuLx","properties":{"formattedCitation":"(3\\uc0\\u8211{}5)","plainCitation":"(3–5)","noteIndex":0},"citationItems":[{"id":88,"uris":["http://zotero.org/users/local/ydeP6pQP/items/LV54K6F3"],"itemData":{"id":88,"type":"article-journal","container-title":"The Journal of Pediatrics","DOI":"10.1016/j.jpeds.2018.09.021","ISSN":"0022-3476, 1090-123X","journalAbbreviation":"The Journal of Pediatrics","language":"English","note":"publisher: Elsevier\nPMID: 30322701","page":"256-267.e3","source":"www.jpeds.com","title":"Prevalence and Treatment of Depression, Anxiety, and Conduct Problems in US Children","volume":"206","author":[{"family":"Ghandour","given":"Reem M."},{"family":"Sherman","given":"Laura J."},{"family":"Vladutiu","given":"Catherine J."},{"family":"Ali","given":"Mir M."},{"family":"Lynch","given":"Sean E."},{"family":"Bitsko","given":"Rebecca H."},{"family":"Blumberg","given":"Stephen J."}],"issued":{"date-parts":[["2019",3,1]]}}},{"id":87,"uris":["http://zotero.org/users/local/ydeP6pQP/items/L5D84ZDN"],"itemData":{"id":87,"type":"article-journal","container-title":"The Lancet Psychiatry","DOI":"10.1016/S2215-0366(17)30167-0","ISSN":"2215-0366, 2215-0374","issue":"2","journalAbbreviation":"The Lancet Psychiatry","language":"English","note":"publisher: Elsevier\nPMID: 29033005","page":"175-186","source":"www.thelancet.com","title":"ADHD in children and young people: prevalence, care pathways, and service provision","title-short":"ADHD in children and young people","volume":"5","author":[{"family":"Sayal","given":"Kapil"},{"family":"Prasad","given":"Vibhore"},{"family":"Daley","given":"David"},{"family":"Ford","given":"Tamsin"},{"family":"Coghill","given":"David"}],"issued":{"date-parts":[["2018",2,1]]}}},{"id":85,"uris":["http://zotero.org/users/local/ydeP6pQP/items/JST7DHMB"],"itemData":{"id":85,"type":"article-journal","container-title":"The Lancet","DOI":"10.1016/S0140-6736(11)60871-4","ISSN":"0140-6736, 1474-547X","issue":"9820","journalAbbreviation":"The Lancet","language":"English","note":"publisher: Elsevier\nPMID: 22305766","page":"1056-1067","source":"www.thelancet.com","title":"Depression in adolescence","volume":"379","author":[{"family":"Thapar","given":"Anita"},{"family":"Collishaw","given":"Stephan"},{"family":"Pine","given":"Daniel S."},{"family":"Thapar","given":"Ajay K."}],"issued":{"date-parts":[["2012",3,17]]}}}],"schema":"https://github.com/citation-style-language/schema/raw/master/csl-citation.json"} </w:instrText>
      </w:r>
      <w:r w:rsidRPr="00527ECF">
        <w:fldChar w:fldCharType="separate"/>
      </w:r>
      <w:r w:rsidR="005416AC" w:rsidRPr="005416AC">
        <w:t>(3–5)</w:t>
      </w:r>
      <w:r w:rsidRPr="00527ECF">
        <w:fldChar w:fldCharType="end"/>
      </w:r>
      <w:r w:rsidRPr="00527ECF">
        <w:t xml:space="preserve">. After study procedures had been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p>
    <w:p w14:paraId="1ABE0F7F" w14:textId="77777777" w:rsidR="003F27C9" w:rsidRPr="00527ECF" w:rsidRDefault="003F27C9">
      <w:pPr>
        <w:spacing w:line="480" w:lineRule="auto"/>
        <w:jc w:val="both"/>
      </w:pPr>
    </w:p>
    <w:p w14:paraId="0F0A4C7E" w14:textId="77777777" w:rsidR="008A2542" w:rsidRDefault="008A2542">
      <w:pPr>
        <w:spacing w:line="480" w:lineRule="auto"/>
        <w:jc w:val="both"/>
        <w:rPr>
          <w:i/>
          <w:u w:val="single"/>
        </w:rPr>
      </w:pPr>
    </w:p>
    <w:p w14:paraId="08654B9D" w14:textId="6482F553" w:rsidR="003F27C9" w:rsidRPr="00527ECF" w:rsidRDefault="00000000">
      <w:pPr>
        <w:spacing w:line="480" w:lineRule="auto"/>
        <w:jc w:val="both"/>
      </w:pPr>
      <w:r w:rsidRPr="00527ECF">
        <w:rPr>
          <w:i/>
          <w:u w:val="single"/>
        </w:rPr>
        <w:lastRenderedPageBreak/>
        <w:t>Clinical assessment</w:t>
      </w:r>
      <w:r w:rsidRPr="00527ECF">
        <w:t xml:space="preserve"> </w:t>
      </w:r>
    </w:p>
    <w:p w14:paraId="31127CA9" w14:textId="32A948C2" w:rsidR="003F27C9" w:rsidRPr="00527ECF" w:rsidRDefault="00000000">
      <w:pPr>
        <w:spacing w:line="480" w:lineRule="auto"/>
        <w:jc w:val="both"/>
      </w:pPr>
      <w:r w:rsidRPr="00527ECF">
        <w:t xml:space="preserve">At each study time point, demographic information and clinical measures were collected for each participant by trained Master's-level clinicians, supervised by a clinical psychologist. Psychiatric diagnoses were established with the Structured Clinical Interview for DSM-IV (SCID) </w:t>
      </w:r>
      <w:r w:rsidRPr="00527ECF">
        <w:fldChar w:fldCharType="begin"/>
      </w:r>
      <w:r w:rsidR="005416AC">
        <w:instrText xml:space="preserve"> ADDIN ZOTERO_ITEM CSL_CITATION {"citationID":"L0rR6owA","properties":{"formattedCitation":"(6)","plainCitation":"(6)","noteIndex":0},"citationItems":[{"id":130,"uris":["http://zotero.org/users/local/ydeP6pQP/items/CV69CCLU"],"itemData":{"id":130,"type":"chapter","abstract":"In this chapter, the authors examine the Structured Clinical Interview for Diagnostic and Statistical Manual-Fourth Edition Axis I Disorders (SCID-I) and the SCID-II. The main topics discussed in this chapter include the following: (1) test description; (2) theoretical basis; (3) test development; (4) psychometric characteristics; (5) cross-cultural factors; (6) accommodations for populations with disabilities; (7) computerization; (8) current research status; (9) use in clinical or organizational practice; and (10) future developments. (PsycInfo Database Record (c) 2022 APA, all rights reserved)","container-title":"Comprehensive handbook of psychological assessment, Vol. 2: Personality assessment","event-place":"Hoboken, NJ, US","ISBN":"978-0-471-41612-8","page":"134-143","publisher":"John Wiley &amp; Sons, Inc.","publisher-place":"Hoboken, NJ, US","source":"APA PsycNet","title":"The Structured Clinical Interview for DSM-IV Axis I Disorders (SCID-I) and the Structured Clinical Interview for DSM-IV Axis II Disorders (SCID-II)","author":[{"family":"First","given":"Michael B."},{"family":"Gibbon","given":"Miriam"}],"issued":{"date-parts":[["2004"]]}}}],"schema":"https://github.com/citation-style-language/schema/raw/master/csl-citation.json"} </w:instrText>
      </w:r>
      <w:r w:rsidRPr="00527ECF">
        <w:fldChar w:fldCharType="separate"/>
      </w:r>
      <w:r w:rsidR="005416AC">
        <w:t>(6)</w:t>
      </w:r>
      <w:r w:rsidRPr="00527ECF">
        <w:fldChar w:fldCharType="end"/>
      </w:r>
      <w:r w:rsidRPr="00527ECF">
        <w:t xml:space="preserve">. Verbal IQ was assessed via the Wechsler Abbreviated Scale of Intelligence (WASI) Vocabulary subtest, and nonverbal IQ was assessed via the WASI Matrix Reasoning subtest. Psychiatric and dimensional psychotic-like symptoms were assessed via the Structured Interview for Psychosis-Risk Syndromes (SIPS) </w:t>
      </w:r>
      <w:r w:rsidRPr="00527ECF">
        <w:fldChar w:fldCharType="begin"/>
      </w:r>
      <w:r w:rsidR="005416AC">
        <w:instrText xml:space="preserve"> ADDIN ZOTERO_ITEM CSL_CITATION {"citationID":"mbkcWwMd","properties":{"formattedCitation":"(7)","plainCitation":"(7)","noteIndex":0},"citationItems":[{"id":71,"uris":["http://zotero.org/users/local/ydeP6pQP/items/CFEG79BK"],"itemData":{"id":71,"type":"article-journal","abstract":"OBJECTIVE: This study was conducted to determine the interrater reliability and predictive validity of a set of diagnostic criteria for the prodrome of the first episode of schizophrenic psychosis when based on the Structured Interview for Prodromal Syndromes.\nMETHOD: The subjects were patients referred for evaluation because of a suspected schizophrenia prodromal syndrome. For the reliability study, two to four raters independently diagnosed 18 patients on the basis of face-to-face or videotaped interviews. For the validity study, 6- and 12-month outcome data were collected for 29 patients.\nRESULTS: Agreement in differentiating prodromal from nonprodromal patients was 93%. The prodromal features had converted to schizophrenic psychosis for 46% of the prodromal patients at 6 months and for 54% at 12 months.\nCONCLUSIONS: In small groups of subjects, these diagnostic criteria for the schizophrenic prodrome and the Structured Interview for Prodromal Syndromes showed promising interrater reliability and predictive validity.","container-title":"The American Journal of Psychiatry","DOI":"10.1176/appi.ajp.159.5.863","ISSN":"0002-953X","issue":"5","journalAbbreviation":"Am J Psychiatry","language":"eng","note":"PMID: 11986145","page":"863-865","source":"PubMed","title":"Prospective diagnosis of the initial prodrome for schizophrenia based on the Structured Interview for Prodromal Syndromes: preliminary evidence of interrater reliability and predictive validity","title-short":"Prospective diagnosis of the initial prodrome for schizophrenia based on the Structured Interview for Prodromal Syndromes","volume":"159","author":[{"family":"Miller","given":"Tandy J."},{"family":"McGlashan","given":"Thomas H."},{"family":"Rosen","given":"Joanna Lifshey"},{"family":"Somjee","given":"Lubna"},{"family":"Markovich","given":"Philip J."},{"family":"Stein","given":"Kelly"},{"family":"Woods","given":"Scott W."}],"issued":{"date-parts":[["2002",5]]}}}],"schema":"https://github.com/citation-style-language/schema/raw/master/csl-citation.json"} </w:instrText>
      </w:r>
      <w:r w:rsidRPr="00527ECF">
        <w:fldChar w:fldCharType="separate"/>
      </w:r>
      <w:r w:rsidR="005416AC">
        <w:t>(7)</w:t>
      </w:r>
      <w:r w:rsidRPr="00527ECF">
        <w:fldChar w:fldCharType="end"/>
      </w:r>
      <w:r w:rsidRPr="00527ECF">
        <w:t xml:space="preserve">. For more details on study ascertainment and recruitment procedures, see </w:t>
      </w:r>
      <w:proofErr w:type="spellStart"/>
      <w:r w:rsidRPr="00527ECF">
        <w:t>Jalbrzikowski</w:t>
      </w:r>
      <w:proofErr w:type="spellEnd"/>
      <w:r w:rsidRPr="00527ECF">
        <w:t xml:space="preserve"> et al. 2012 and 2013 </w:t>
      </w:r>
      <w:r w:rsidRPr="00527ECF">
        <w:fldChar w:fldCharType="begin"/>
      </w:r>
      <w:r w:rsidR="005416AC">
        <w:instrText xml:space="preserve"> ADDIN ZOTERO_ITEM CSL_CITATION {"citationID":"SQd6meU2","properties":{"formattedCitation":"(8,9)","plainCitation":"(8,9)","noteIndex":0},"citationItems":[{"id":65,"uris":["http://zotero.org/users/local/ydeP6pQP/items/9NPJGJMW"],"itemData":{"id":65,"type":"article-journal","abstract":"22q11.2 deletion syndrome (22qDS) represents one of the largest known genetic risk factors for schizophrenia. Approximately 30% of individuals with 22qDS develop psychotic illness in adolescence or young adulthood. Given that deficits in social cognition are increasingly viewed as a central aspect of idiopathic schizophrenia, we sought to investigate abilities in this domain as a predictor of psychotic symptoms in 22qDS participants. We assessed multiple domains of social and non-social cognition in 22qDS youth to: 1) characterize performance across these domains in 22qDS, and identify whether 22qDS participants fail to show expected patterns of age-related improvements on these tasks; and 2) determine whether social cognition better predicts positive and negative symptoms than does non-social cognition. Task domains assessed were: emotion recognition and differentiation, Theory of Mind (ToM), verbal knowledge, abstract reasoning, working memory, and processing speed. Positive and negative symptoms were measured using scores obtained from the Structured Interview for Prodromal Symptoms (SIPS). 22qDS participants (N=31, mean age: 15.9) showed the largest impairment, relative to healthy controls (N=31, mean age: 15.6), on measures of ToM and processing speed. In contrast to controls, 22qDS participants did not show age-related improvements on measures of working memory and verbal knowledge. Notably, ToM performance was the best predictor of positive symptoms in 22qDS, accounting for 39% of the variance in symptom severity. Processing speed emerged as the best predictor of negative symptoms, accounting for 37% of the variance in symptoms. Given that ToM was a robust predictor of positive symptoms in our sample, these findings suggest that social cognition may be a valuable intermediate trait for predicting the development of psychosis.","container-title":"Schizophrenia research","DOI":"10.1016/j.schres.2012.10.007","ISSN":"0920-9964","issue":"0","journalAbbreviation":"Schizophr Res","note":"PMID: 23122739\nPMCID: PMC3714207","page":"99-107","source":"PubMed Central","title":"Social Cognition in 22q11.2 Microdeletion Syndrome: Relevance to Psychosis","title-short":"Social Cognition in 22q11.2 Microdeletion Syndrome","volume":"142","author":[{"family":"Jalbrzikowski","given":"Maria"},{"family":"Carter","given":"Chelsea"},{"family":"Senturk","given":"Damla"},{"family":"Chow","given":"Carolyn"},{"family":"Hopkins","given":"Jessica M."},{"family":"Green","given":"Michael F."},{"family":"Galván","given":"Adriana"},{"family":"Cannon","given":"Tyrone D."},{"family":"Bearden","given":"Carrie E."}],"issued":{"date-parts":[["2012",12]]}}},{"id":67,"uris":["http://zotero.org/users/local/ydeP6pQP/items/UPKQBERP"],"itemData":{"id":67,"type":"article-journal","abstract":"•\n              22q11DS offers a valuable model for neurobiological mechanisms of psychosis.\n            \n            \n              •\n              First study of multiple structural MRI indices in 22q11DS.\n            \n            \n              •\n              Reduced surface area in multiple neuroanatomic regions in 22q11DS.\n            \n            \n              •\n              Increased cortical thickness in multiple frontal regions and insula in 22q11DS.\n            \n            \n              •\n              Orbitofrontal abnormalities associated with positive symptom severity in 22q11DS.","container-title":"NeuroImage : Clinical","DOI":"10.1016/j.nicl.2013.09.013","ISSN":"2213-1582","journalAbbreviation":"Neuroimage Clin","note":"PMID: 24273724\nPMCID: PMC3814944","page":"405-415","source":"PubMed Central","title":"Structural abnormalities in cortical volume, thickness, and surface area in 22q11.2 microdeletion syndrome: Relationship with psychotic symptoms","title-short":"Structural abnormalities in cortical volume, thickness, and surface area in 22q11.2 microdeletion syndrome","volume":"3","author":[{"family":"Jalbrzikowski","given":"Maria"},{"family":"Jonas","given":"Rachel"},{"family":"Senturk","given":"Damla"},{"family":"Patel","given":"Arati"},{"family":"Chow","given":"Carolyn"},{"family":"Green","given":"Michael F."},{"family":"Bearden","given":"Carrie E."}],"issued":{"date-parts":[["2013",10,14]]}}}],"schema":"https://github.com/citation-style-language/schema/raw/master/csl-citation.json"} </w:instrText>
      </w:r>
      <w:r w:rsidRPr="00527ECF">
        <w:fldChar w:fldCharType="separate"/>
      </w:r>
      <w:r w:rsidR="005416AC">
        <w:t>(8,9)</w:t>
      </w:r>
      <w:r w:rsidRPr="00527ECF">
        <w:fldChar w:fldCharType="end"/>
      </w:r>
    </w:p>
    <w:p w14:paraId="2D4522D5" w14:textId="77777777" w:rsidR="003F27C9" w:rsidRPr="00527ECF" w:rsidRDefault="003F27C9">
      <w:pPr>
        <w:spacing w:line="480" w:lineRule="auto"/>
        <w:jc w:val="both"/>
      </w:pPr>
    </w:p>
    <w:p w14:paraId="50560B23" w14:textId="77777777" w:rsidR="003F27C9" w:rsidRPr="00527ECF" w:rsidRDefault="00000000">
      <w:pPr>
        <w:spacing w:line="480" w:lineRule="auto"/>
        <w:jc w:val="both"/>
        <w:rPr>
          <w:u w:val="single"/>
        </w:rPr>
      </w:pPr>
      <w:r w:rsidRPr="00527ECF">
        <w:rPr>
          <w:i/>
          <w:u w:val="single"/>
        </w:rPr>
        <w:t>Neuroimaging acquisition</w:t>
      </w:r>
    </w:p>
    <w:p w14:paraId="0FF61BAE" w14:textId="52010B02" w:rsidR="003F27C9" w:rsidRPr="00527ECF" w:rsidRDefault="00000000">
      <w:pPr>
        <w:spacing w:line="480" w:lineRule="auto"/>
        <w:jc w:val="both"/>
      </w:pPr>
      <w:r w:rsidRPr="00527ECF">
        <w:t xml:space="preserve">All subjects were imaged at the UCLA Center for Cognitive Neuroscience on either a Siemens </w:t>
      </w:r>
      <w:proofErr w:type="spellStart"/>
      <w:r w:rsidRPr="00527ECF">
        <w:t>TimTrio</w:t>
      </w:r>
      <w:proofErr w:type="spellEnd"/>
      <w:r w:rsidRPr="00527ECF">
        <w:t xml:space="preserve"> or Prisma scanner. The Prisma data were collected with Human Connectome Project (HCP)-style sequences. 420 volumes (5.6 min) of resting BOLD data were acquired in 72 interleaved slices with multiband-8 acceleration (voxel size = 2 × 2 × 2 mm, TR = 800 </w:t>
      </w:r>
      <w:proofErr w:type="spellStart"/>
      <w:r w:rsidRPr="00527ECF">
        <w:t>ms</w:t>
      </w:r>
      <w:proofErr w:type="spellEnd"/>
      <w:r w:rsidRPr="00527ECF">
        <w:t xml:space="preserve">, TE = 37 </w:t>
      </w:r>
      <w:proofErr w:type="spellStart"/>
      <w:r w:rsidRPr="00527ECF">
        <w:t>ms</w:t>
      </w:r>
      <w:proofErr w:type="spellEnd"/>
      <w:r w:rsidRPr="00527ECF">
        <w:t xml:space="preserve">, flip angle = 52°, FOV = 208 × 208 mm), along with single-band reference images and a pair of spin-echo field maps with phase encoding in the anterior-posterior (AP) and posterior-anterior (PA) directions. T1w MP-RAGE and T2w SPC images were collected in 208 sagittal slices (voxel size = 0.8 × 0.8 × 0.8 mm, FOV = 256 × 256 mm) with (T1w TR = 2400 </w:t>
      </w:r>
      <w:proofErr w:type="spellStart"/>
      <w:r w:rsidRPr="00527ECF">
        <w:t>ms</w:t>
      </w:r>
      <w:proofErr w:type="spellEnd"/>
      <w:r w:rsidRPr="00527ECF">
        <w:t xml:space="preserve">, TE = 2.22 </w:t>
      </w:r>
      <w:proofErr w:type="spellStart"/>
      <w:r w:rsidRPr="00527ECF">
        <w:t>ms</w:t>
      </w:r>
      <w:proofErr w:type="spellEnd"/>
      <w:r w:rsidRPr="00527ECF">
        <w:t xml:space="preserve">) and (T2w TR = 3200 </w:t>
      </w:r>
      <w:proofErr w:type="spellStart"/>
      <w:r w:rsidRPr="00527ECF">
        <w:t>ms</w:t>
      </w:r>
      <w:proofErr w:type="spellEnd"/>
      <w:r w:rsidRPr="00527ECF">
        <w:t xml:space="preserve">, TE = 563 </w:t>
      </w:r>
      <w:proofErr w:type="spellStart"/>
      <w:r w:rsidRPr="00527ECF">
        <w:t>ms</w:t>
      </w:r>
      <w:proofErr w:type="spellEnd"/>
      <w:r w:rsidRPr="00527ECF">
        <w:t xml:space="preserve">). The </w:t>
      </w:r>
      <w:proofErr w:type="spellStart"/>
      <w:r w:rsidRPr="00527ECF">
        <w:t>TimTrio</w:t>
      </w:r>
      <w:proofErr w:type="spellEnd"/>
      <w:r w:rsidRPr="00527ECF">
        <w:t xml:space="preserve"> resting BOLD data were acquired in 34 interleaved axial slices using a fast gradient-echo, echo-planar sequence (voxel size = 3 × 3 × 4 mm, TR = 2000 </w:t>
      </w:r>
      <w:proofErr w:type="spellStart"/>
      <w:r w:rsidRPr="00527ECF">
        <w:t>ms</w:t>
      </w:r>
      <w:proofErr w:type="spellEnd"/>
      <w:r w:rsidRPr="00527ECF">
        <w:t xml:space="preserve">, TE = 30 </w:t>
      </w:r>
      <w:proofErr w:type="spellStart"/>
      <w:r w:rsidRPr="00527ECF">
        <w:t>ms</w:t>
      </w:r>
      <w:proofErr w:type="spellEnd"/>
      <w:r w:rsidRPr="00527ECF">
        <w:t xml:space="preserve">, flip angle = 90°, FOV = 192 × 192 mm). Acquisition lasted 5.1 min and produced 152 volumes. High-resolution T1w MP-RAGE images were collected in 160 sagittal slices (voxel size = 1 × 1 × 1 mm, TR = 2300 </w:t>
      </w:r>
      <w:proofErr w:type="spellStart"/>
      <w:r w:rsidRPr="00527ECF">
        <w:t>ms</w:t>
      </w:r>
      <w:proofErr w:type="spellEnd"/>
      <w:r w:rsidRPr="00527ECF">
        <w:t xml:space="preserve">, TE = 2.91 </w:t>
      </w:r>
      <w:proofErr w:type="spellStart"/>
      <w:r w:rsidRPr="00527ECF">
        <w:t>ms</w:t>
      </w:r>
      <w:proofErr w:type="spellEnd"/>
      <w:r w:rsidRPr="00527ECF">
        <w:t xml:space="preserve">, flip angle = 90°, FOV = 240 × 256 mm). </w:t>
      </w:r>
    </w:p>
    <w:p w14:paraId="6F908D24" w14:textId="77777777" w:rsidR="003F27C9" w:rsidRPr="00527ECF" w:rsidRDefault="003F27C9">
      <w:pPr>
        <w:spacing w:line="480" w:lineRule="auto"/>
        <w:jc w:val="both"/>
      </w:pPr>
    </w:p>
    <w:p w14:paraId="1783A15B" w14:textId="77777777" w:rsidR="003F27C9" w:rsidRPr="00527ECF" w:rsidRDefault="00000000">
      <w:pPr>
        <w:spacing w:line="480" w:lineRule="auto"/>
        <w:jc w:val="both"/>
      </w:pPr>
      <w:r w:rsidRPr="00527ECF">
        <w:rPr>
          <w:i/>
          <w:u w:val="single"/>
        </w:rPr>
        <w:lastRenderedPageBreak/>
        <w:t>Neuroimaging preprocessing</w:t>
      </w:r>
      <w:r w:rsidRPr="00527ECF">
        <w:t xml:space="preserve"> </w:t>
      </w:r>
    </w:p>
    <w:p w14:paraId="2FD1DC87" w14:textId="535A816E" w:rsidR="003F27C9" w:rsidRPr="00527ECF" w:rsidRDefault="00000000">
      <w:pPr>
        <w:spacing w:line="480" w:lineRule="auto"/>
        <w:jc w:val="both"/>
      </w:pPr>
      <w:r w:rsidRPr="00527ECF">
        <w:t xml:space="preserve">Structural and functional MRI data were processed using the Quantitative Neuroimaging Environment &amp; Toolbox </w:t>
      </w:r>
      <w:r w:rsidRPr="00527ECF">
        <w:fldChar w:fldCharType="begin"/>
      </w:r>
      <w:r w:rsidR="005416AC">
        <w:instrText xml:space="preserve"> ADDIN ZOTERO_ITEM CSL_CITATION {"citationID":"QI5URQ18","properties":{"formattedCitation":"(10)","plainCitation":"(10)","noteIndex":0},"citationItems":[{"id":4,"uris":["http://zotero.org/users/local/ydeP6pQP/items/GMUVZKWW"],"itemData":{"id":4,"type":"article","abstract":"Neuroimaging technology has experienced explosive growth and transformed the study of neural mechanisms across health and disease. However, given the diversity of sophisticated tools for handling neuroimaging data, the field faces challenges in method integration (1–3), particularly across multiple modalities and species. Specifically, researchers often have to rely on siloed approaches which limit reproducibility, with idiosyncratic data organization and limited software interoperability. To address these challenges, we have developed Quantitative Neuroimaging Environment &amp; Toolbox (QuNex), a platform for consistent end-to-end processing and analytics. QuNex provides several novel functionalities for neuroimaging analyses, including a “turnkey” command for the reproducible deployment of custom workflows, from onboarding raw data to generating analytic features. The platform enables inter-operable integration of multi-modal, community-developed neuroimaging software through an extension framework with a software development kit (SDK) for seamless integration of community tools. Critically, it supports high-throughput, parallel processing in high-performance compute environments, either locally or in the cloud. Notably, QuNex has successfully processed over 10,000 scans across neuroimaging consortia (4), including multiple clinical datasets. Moreover, QuNex enables integration of human and non-human workflows via a cohesive translational platform. Collectively, this effort stands to significantly impact neuroimaging method integration across acquisition approaches, pipelines, datasets, computational environments, and species. Building on this platform will enable more rapid, scalable, and reproducible impact of neuroimaging technology across health and disease.","DOI":"10.1101/2022.06.03.494750","language":"en","license":"©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D."},{"family":"Anticevic","given":"Alan"},{"family":"Repovš","given":"Grega"}],"accessed":{"date-parts":[["2023",2,25]]},"issued":{"date-parts":[["2022",10,2]]}}}],"schema":"https://github.com/citation-style-language/schema/raw/master/csl-citation.json"} </w:instrText>
      </w:r>
      <w:r w:rsidRPr="00527ECF">
        <w:fldChar w:fldCharType="separate"/>
      </w:r>
      <w:r w:rsidR="005416AC">
        <w:t>(10)</w:t>
      </w:r>
      <w:r w:rsidRPr="00527ECF">
        <w:fldChar w:fldCharType="end"/>
      </w:r>
      <w:r w:rsidRPr="00527ECF">
        <w:t xml:space="preserve"> which includes an extension of the Human Connectome Project (HCP) minimal preprocessing pipeline </w:t>
      </w:r>
      <w:r w:rsidRPr="00527ECF">
        <w:fldChar w:fldCharType="begin"/>
      </w:r>
      <w:r w:rsidR="005416AC">
        <w:instrText xml:space="preserve"> ADDIN ZOTERO_ITEM CSL_CITATION {"citationID":"NHNIYxq2","properties":{"formattedCitation":"(11)","plainCitation":"(11)","noteIndex":0},"citationItems":[{"id":6,"uris":["http://zotero.org/users/local/ydeP6pQP/items/4H5HTABR"],"itemData":{"id":6,"type":"article-journal","abstract":"The Human Connectome Project (HCP) faces the challenging task of bringing multiple magnetic resonance imaging (MRI) modalities together in a common automated preprocessing framework across a large cohort of subjects. The MRI data acquired by the HCP differ in many ways from data acquired on conventional 3 Tesla scanners and often require newly developed preprocessing methods. We describe the minimal preprocessing pipelines for structural, functional, and diffusion MRI that were developed by the HCP to accomplish many low level tasks, including spatial artifact/distortion removal, surface generation, cross-modal registration, and alignment to standard space. These pipelines are specially designed to capitalize on the high quality data offered by the HCP. The final standard space makes use of a recently introduced CIFTI file format and the associated grayordinates spatial coordinate system. This allows for combined cortical surface and subcortical volume analyses while reducing the storage and processing requirements for high spatial and temporal resolution data. Here, we provide the minimum image acquisition requirements for the HCP minimal preprocessing pipelines and additional advice for investigators interested in replicating the HCP’s acquisition protocols or using these pipelines. Finally, we discuss some potential future improvements for the pipelines.","container-title":"NeuroImage","DOI":"10.1016/j.neuroimage.2013.04.127","ISSN":"1053-8119","journalAbbreviation":"Neuroimage","note":"PMID: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C"},{"family":"Jenkinson","given":"Mark"}],"issued":{"date-parts":[["2013",10,15]]}}}],"schema":"https://github.com/citation-style-language/schema/raw/master/csl-citation.json"} </w:instrText>
      </w:r>
      <w:r w:rsidRPr="00527ECF">
        <w:fldChar w:fldCharType="separate"/>
      </w:r>
      <w:r w:rsidR="005416AC">
        <w:t>(11)</w:t>
      </w:r>
      <w:r w:rsidRPr="00527ECF">
        <w:fldChar w:fldCharType="end"/>
      </w:r>
      <w:r w:rsidRPr="00527ECF">
        <w:t xml:space="preserve"> compatible with multi-band and single-band fMRI. Additional processing of the fMRI time series included bandpass filtering, motion</w:t>
      </w:r>
      <w:r w:rsidR="00907BF1">
        <w:t xml:space="preserve"> </w:t>
      </w:r>
      <w:r w:rsidRPr="00527ECF">
        <w:t xml:space="preserve">scrubbing for frames exceeding either a framewise displacement threshold of 0.5 mm or signal change threshold of 3 (normalized root mean square difference) proposed by Power et al. </w:t>
      </w:r>
      <w:r w:rsidRPr="00527ECF">
        <w:fldChar w:fldCharType="begin"/>
      </w:r>
      <w:r w:rsidR="005416AC">
        <w:instrText xml:space="preserve"> ADDIN ZOTERO_ITEM CSL_CITATION {"citationID":"9dkfDKTR","properties":{"formattedCitation":"(2)","plainCitation":"(2)","noteIndex":0},"citationItems":[{"id":9,"uris":["http://zotero.org/users/local/ydeP6pQP/items/IWMWBTH3"],"itemData":{"id":9,"type":"article-journal","abstract":"Here,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5416AC">
        <w:t>(2)</w:t>
      </w:r>
      <w:r w:rsidRPr="00527ECF">
        <w:fldChar w:fldCharType="end"/>
      </w:r>
      <w:r w:rsidRPr="00527ECF">
        <w:t xml:space="preserve">, and spatial smoothing (4mm Gaussian full width half maximum). Scans with &gt;50% frames flagged for motion were excluded. To correct for spatially pervasive sources of noise including latent physiological factors and unaddressed movement, final analyses were performed on the residuals of the time series after regression of movement, mean signal from the ventricles and deep white matter, and the mean global gray matter signal </w:t>
      </w:r>
      <w:r w:rsidRPr="00527ECF">
        <w:fldChar w:fldCharType="begin"/>
      </w:r>
      <w:r w:rsidR="005416AC">
        <w:instrText xml:space="preserve"> ADDIN ZOTERO_ITEM CSL_CITATION {"citationID":"TqCLcgFL","properties":{"formattedCitation":"(12)","plainCitation":"(12)","noteIndex":0},"citationItems":[{"id":12,"uris":["http://zotero.org/users/local/ydeP6pQP/items/MPGEVIJG"],"itemData":{"id":12,"type":"article-journal","abstract":"Whole-brain fMRI signals are a subject of intense interest: variance in the global fMRI signal (the spatial mean of all signals in the brain) indexes subject arousal, and psychiatric conditions such as schizophrenia and autism have been characterized by differences in the global fMRI signal. Further, vigorous debates exist on whether global signals ought to be removed from fMRI data. However, surprisingly little research has focused on the empirical properties of whole-brain fMRI signals. Here we map the spatial and temporal properties of the global signal, individually, in 1000+ fMRI scans. Variance in the global fMRI signal is strongly linked to head motion, to hardware artifacts, and to respiratory patterns and their attendant physiologic changes. Many techniques used to prepare fMRI data for analysis fail to remove these uninteresting kinds of global signal fluctuations. Thus, many studies include, at the time of analysis, prominent global effects of yawns, breathing changes, and head motion, among other signals. Such artifacts will mimic dynamic neural activity and will spuriously alter signal covariance throughout the brain. Methods capable of isolating and removing global artifactual variance while preserving putative “neural” variance are needed; this paper adopts no position on the topic of global signal regression.","container-title":"NeuroImage","DOI":"10.1016/j.neuroimage.2016.09.038","ISSN":"1053-8119","journalAbbreviation":"Neuroimage","note":"PMID: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O"},{"family":"Martin","given":"Alex"}],"issued":{"date-parts":[["2017",2,1]]}}}],"schema":"https://github.com/citation-style-language/schema/raw/master/csl-citation.json"} </w:instrText>
      </w:r>
      <w:r w:rsidRPr="00527ECF">
        <w:fldChar w:fldCharType="separate"/>
      </w:r>
      <w:r w:rsidR="005416AC">
        <w:t>(12)</w:t>
      </w:r>
      <w:r w:rsidRPr="00527ECF">
        <w:fldChar w:fldCharType="end"/>
      </w:r>
      <w:r w:rsidRPr="00527ECF">
        <w:t xml:space="preserve">. For a detailed description of preprocessing methods, see previous work in a subset of these data </w:t>
      </w:r>
      <w:r w:rsidRPr="00527ECF">
        <w:fldChar w:fldCharType="begin"/>
      </w:r>
      <w:r w:rsidR="005416AC">
        <w:instrText xml:space="preserve"> ADDIN ZOTERO_ITEM CSL_CITATION {"citationID":"db6sxyWp","properties":{"formattedCitation":"(1)","plainCitation":"(1)","noteIndex":0},"citationItems":[{"id":1,"uris":["http://zotero.org/users/local/ydeP6pQP/items/7N5MEWN2"],"itemData":{"id":1,"type":"article-journal","abstract":"The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5416AC">
        <w:t>(1)</w:t>
      </w:r>
      <w:r w:rsidRPr="00527ECF">
        <w:fldChar w:fldCharType="end"/>
      </w:r>
      <w:r w:rsidRPr="00527ECF">
        <w:t>.</w:t>
      </w:r>
      <w:r w:rsidR="00907BF1">
        <w:t xml:space="preserve"> </w:t>
      </w:r>
    </w:p>
    <w:p w14:paraId="2105F0ED" w14:textId="77777777" w:rsidR="003F27C9" w:rsidRPr="00527ECF" w:rsidRDefault="003F27C9">
      <w:pPr>
        <w:spacing w:line="480" w:lineRule="auto"/>
        <w:jc w:val="both"/>
      </w:pPr>
    </w:p>
    <w:p w14:paraId="7BF86B51" w14:textId="77777777" w:rsidR="003F27C9" w:rsidRPr="00527ECF" w:rsidRDefault="00000000">
      <w:pPr>
        <w:spacing w:line="480" w:lineRule="auto"/>
        <w:jc w:val="both"/>
        <w:rPr>
          <w:i/>
          <w:u w:val="single"/>
        </w:rPr>
      </w:pPr>
      <w:r w:rsidRPr="00527ECF">
        <w:rPr>
          <w:i/>
          <w:u w:val="single"/>
        </w:rPr>
        <w:t>Functional connectivity</w:t>
      </w:r>
    </w:p>
    <w:p w14:paraId="0439FD9D" w14:textId="504939F2" w:rsidR="003F27C9" w:rsidRPr="00527ECF" w:rsidRDefault="00000000">
      <w:pPr>
        <w:spacing w:line="480" w:lineRule="auto"/>
        <w:jc w:val="both"/>
      </w:pPr>
      <w:proofErr w:type="spellStart"/>
      <w:r w:rsidRPr="00527ECF">
        <w:t>rs</w:t>
      </w:r>
      <w:proofErr w:type="spellEnd"/>
      <w:r w:rsidRPr="00527ECF">
        <w:t xml:space="preserve">-fMRI analyses were performed using the </w:t>
      </w:r>
      <w:proofErr w:type="spellStart"/>
      <w:r w:rsidRPr="00527ECF">
        <w:t>ciftiTools</w:t>
      </w:r>
      <w:proofErr w:type="spellEnd"/>
      <w:r w:rsidRPr="00527ECF">
        <w:t xml:space="preserve"> package in R version 4.2.2 </w:t>
      </w:r>
      <w:r w:rsidRPr="00527ECF">
        <w:fldChar w:fldCharType="begin"/>
      </w:r>
      <w:r w:rsidR="005416AC">
        <w:instrText xml:space="preserve"> ADDIN ZOTERO_ITEM CSL_CITATION {"citationID":"ykWKbGqZ","properties":{"formattedCitation":"(13)","plainCitation":"(13)","noteIndex":0},"citationItems":[{"id":132,"uris":["http://zotero.org/users/local/ydeP6pQP/items/C399HSKM"],"itemData":{"id":132,"type":"article-journal","abstract":"There is significant interest in adopting surface- and grayordinate-based analysis of MR data for a number of reasons, including improved whole-cortex visualization, the ability to perform surface smoothing to avoid issues associated with volumetric smoothing, improved inter-subject alignment, and reduced dimensionality. The CIFTI grayordinate file format introduced by the Human Connectome Project further advances grayordinate-based analysis by combining gray matter data from the left and right cortical hemispheres with gray matter data from the subcortex and cerebellum into a single file. Analyses performed in grayordinate space are well-suited to leverage information shared across the brain and across subjects through both traditional analysis techniques and more advanced statistical methods, including Bayesian methods. The R statistical environment facilitates use of advanced statistical techniques, yet little support for grayordinates analysis has been previously available in R. Indeed, few comprehensive programmatic tools for working with CIFTI files have been available in any language. Here, we present the ciftiTools R package, which provides a unified environment for reading, writing, visualizing, and manipulating CIFTI files and related data formats. We illustrate ciftiTools’ convenient and user-friendly suite of tools for working with grayordinates and surface geometry data in R, and we describe how ciftiTools is being utilized to advance the statistical analysis of grayordinate-based functional MRI data.","container-title":"NeuroImage","DOI":"10.1016/j.neuroimage.2022.118877","ISSN":"1053-8119","journalAbbreviation":"NeuroImage","language":"en","page":"118877","source":"ScienceDirect","title":"ciftiTools: A package for reading, writing, visualizing, and manipulating CIFTI files in R","title-short":"ciftiTools","volume":"250","author":[{"family":"Pham","given":"Damon D."},{"family":"Muschelli","given":"John"},{"family":"Mejia","given":"Amanda F."}],"issued":{"date-parts":[["2022",4,15]]}}}],"schema":"https://github.com/citation-style-language/schema/raw/master/csl-citation.json"} </w:instrText>
      </w:r>
      <w:r w:rsidRPr="00527ECF">
        <w:fldChar w:fldCharType="separate"/>
      </w:r>
      <w:r w:rsidR="005416AC">
        <w:t>(13)</w:t>
      </w:r>
      <w:r w:rsidRPr="00527ECF">
        <w:fldChar w:fldCharType="end"/>
      </w:r>
      <w:r w:rsidRPr="00527ECF">
        <w:t>. Network thalamocortical functional connectivity (TCC) was calculated based on the Cole-</w:t>
      </w:r>
      <w:proofErr w:type="spellStart"/>
      <w:r w:rsidRPr="00527ECF">
        <w:t>Anticevic</w:t>
      </w:r>
      <w:proofErr w:type="spellEnd"/>
      <w:r w:rsidRPr="00527ECF">
        <w:t xml:space="preserve"> Brain-Wide Network Partition (CAB-NP) </w:t>
      </w:r>
      <w:r w:rsidRPr="00527ECF">
        <w:fldChar w:fldCharType="begin"/>
      </w:r>
      <w:r w:rsidR="005416AC">
        <w:instrText xml:space="preserve"> ADDIN ZOTERO_ITEM CSL_CITATION {"citationID":"yfqhXLCc","properties":{"formattedCitation":"(14)","plainCitation":"(14)","noteIndex":0},"citationItems":[{"id":17,"uris":["http://zotero.org/users/local/ydeP6pQP/items/2EJKURTC"],"itemData":{"id":17,"type":"article-journal","abstract":"Understanding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5416AC">
        <w:t>(14)</w:t>
      </w:r>
      <w:r w:rsidRPr="00527ECF">
        <w:fldChar w:fldCharType="end"/>
      </w:r>
      <w:r w:rsidRPr="00527ECF">
        <w:t xml:space="preserve"> which provides a whole brain cortical-subcortical extension of the HCP multimodal surface parcellation </w:t>
      </w:r>
      <w:r w:rsidRPr="00527ECF">
        <w:fldChar w:fldCharType="begin"/>
      </w:r>
      <w:r w:rsidR="005416AC">
        <w:instrText xml:space="preserve"> ADDIN ZOTERO_ITEM CSL_CITATION {"citationID":"sNQEenXb","properties":{"formattedCitation":"(15)","plainCitation":"(15)","noteIndex":0},"citationItems":[{"id":20,"uris":["http://zotero.org/users/local/ydeP6pQP/items/GLHANJL8"],"itemData":{"id":20,"type":"article-journal","abstract":"Understanding the amazingly complex human cerebral cortex requires a map (or parcellation) of its major subdivisions, known as cortical areas. Making an accurate areal map has been a century-old objective in neuroscience. Using multi-modal magnetic resonance images from the Human Connectome Project (HCP) and an objective semi-automated neuroanatomical approach, we delineated 180 areas per hemisphere bounded by sharp changes in cortical architecture, function, connectivity, and/or topography in a precisely aligned group average of 210 healthy young adults. We characterized 97 new areas and 83 areas previously reported using post-mortem microscopy or other specialized study-specific approaches. To enable automated delineation and identification of these areas in new HCP subjects and in future studies, we trained a machine-learning classifier to recognize the multi-modal ‘fingerprint’ of each cortical area. This classifier detected the presence of 96.6% of the cortical areas in new subjects, replicated the group parcellation, and could correctly locate areas in individuals with atypical parcellations. The freely available parcellation and classifier will enable substantially improved neuroanatomical precision for studies of the structural and functional organization of human cerebral cortex and its variation across individuals and in development, aging, and disease.","container-title":"Nature","DOI":"10.1038/nature18933","ISSN":"0028-0836","issue":"7615","journalAbbreviation":"Nature","note":"PMID: 27437579\nPMCID: PMC4990127","page":"171-178","source":"PubMed Central","title":"A multi-modal parcellation of human cerebral cortex","volume":"536","author":[{"family":"Glasser","given":"Matthew F"},{"family":"Coalson","given":"Timothy S"},{"family":"Robinson","given":"Emma C"},{"family":"Hacker","given":"Carl D"},{"family":"Harwell","given":"John"},{"family":"Yacoub","given":"Essa"},{"family":"Ugurbil","given":"Kamil"},{"family":"Andersson","given":"Jesper"},{"family":"Beckmann","given":"Christian F"},{"family":"Jenkinson","given":"Mark"},{"family":"Smith","given":"Stephen M"},{"family":"Van Essen","given":"David C"}],"issued":{"date-parts":[["2016",8,11]]}}}],"schema":"https://github.com/citation-style-language/schema/raw/master/csl-citation.json"} </w:instrText>
      </w:r>
      <w:r w:rsidRPr="00527ECF">
        <w:fldChar w:fldCharType="separate"/>
      </w:r>
      <w:r w:rsidR="005416AC">
        <w:t>(15)</w:t>
      </w:r>
      <w:r w:rsidRPr="00527ECF">
        <w:fldChar w:fldCharType="end"/>
      </w:r>
      <w:r w:rsidRPr="00527ECF">
        <w:t xml:space="preserve"> derived from healthy adult resting-state fMRI. For each network, TCC was computed as the Fisher z-transformed Pearson correlation between the mean BOLD time series in the cortical portion of the network and the thalamic portion of the same network. Nine networks were investigated (frontoparietal, somatomotor, cingulo-opercular, default mode, dorsal attention, auditory, posterior multimodal, primary visual, and secondary visual), and three were excluded for lack of representation in the thalamus (orbito-affective, ventral multimodal, and language). </w:t>
      </w:r>
    </w:p>
    <w:p w14:paraId="3FC314D3" w14:textId="77777777" w:rsidR="003F27C9" w:rsidRPr="00527ECF" w:rsidRDefault="003F27C9">
      <w:pPr>
        <w:spacing w:line="480" w:lineRule="auto"/>
        <w:jc w:val="both"/>
      </w:pPr>
    </w:p>
    <w:p w14:paraId="3A02C39C" w14:textId="77777777" w:rsidR="003F27C9" w:rsidRPr="00527ECF" w:rsidRDefault="00000000">
      <w:pPr>
        <w:spacing w:line="480" w:lineRule="auto"/>
        <w:jc w:val="both"/>
        <w:rPr>
          <w:i/>
          <w:u w:val="single"/>
        </w:rPr>
      </w:pPr>
      <w:r w:rsidRPr="00527ECF">
        <w:rPr>
          <w:i/>
          <w:u w:val="single"/>
        </w:rPr>
        <w:lastRenderedPageBreak/>
        <w:t>Data harmonization</w:t>
      </w:r>
    </w:p>
    <w:p w14:paraId="1717132A" w14:textId="184B2626" w:rsidR="003F27C9" w:rsidRPr="00527ECF" w:rsidRDefault="00000000">
      <w:pPr>
        <w:spacing w:line="480" w:lineRule="auto"/>
        <w:jc w:val="both"/>
      </w:pPr>
      <w:r w:rsidRPr="00527ECF">
        <w:t xml:space="preserve">To harmonize data acquired on two different scanner platforms, we applied a longitudinal implementation of the </w:t>
      </w:r>
      <w:proofErr w:type="spellStart"/>
      <w:r w:rsidRPr="00527ECF">
        <w:t>ComBat</w:t>
      </w:r>
      <w:proofErr w:type="spellEnd"/>
      <w:r w:rsidRPr="00527ECF">
        <w:t xml:space="preserve"> algorithm using the </w:t>
      </w:r>
      <w:proofErr w:type="spellStart"/>
      <w:r w:rsidRPr="00527ECF">
        <w:t>longComBat</w:t>
      </w:r>
      <w:proofErr w:type="spellEnd"/>
      <w:r w:rsidRPr="00527ECF">
        <w:t xml:space="preserve"> package in R </w:t>
      </w:r>
      <w:r w:rsidRPr="00527ECF">
        <w:fldChar w:fldCharType="begin"/>
      </w:r>
      <w:r w:rsidR="005416AC">
        <w:instrText xml:space="preserve"> ADDIN ZOTERO_ITEM CSL_CITATION {"citationID":"6Gq9wOTW","properties":{"formattedCitation":"(16,17)","plainCitation":"(16,17)","noteIndex":0},"citationItems":[{"id":49,"uris":["http://zotero.org/users/local/ydeP6pQP/items/HRE2IS2K"],"itemData":{"id":49,"type":"article-journal","abstract":"While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5416AC">
        <w:t>(16,17)</w:t>
      </w:r>
      <w:r w:rsidRPr="00527ECF">
        <w:fldChar w:fldCharType="end"/>
      </w:r>
      <w:r w:rsidRPr="00527ECF">
        <w:t xml:space="preserve">. </w:t>
      </w:r>
      <w:proofErr w:type="spellStart"/>
      <w:r w:rsidRPr="00527ECF">
        <w:t>ComBat</w:t>
      </w:r>
      <w:proofErr w:type="spellEnd"/>
      <w:r w:rsidRPr="00527ECF">
        <w:t xml:space="preserve"> uses empirical Bayes methods to estimate and remove site/batch effects with increased robustness to outliers in small samples compared to general linear model approaches. </w:t>
      </w:r>
      <w:proofErr w:type="spellStart"/>
      <w:r w:rsidRPr="00527ECF">
        <w:t>ComBat</w:t>
      </w:r>
      <w:proofErr w:type="spellEnd"/>
      <w:r w:rsidRPr="00527ECF">
        <w:t xml:space="preserve"> was initially developed for genomics data </w:t>
      </w:r>
      <w:r w:rsidRPr="00527ECF">
        <w:fldChar w:fldCharType="begin"/>
      </w:r>
      <w:r w:rsidR="005416AC">
        <w:instrText xml:space="preserve"> ADDIN ZOTERO_ITEM CSL_CITATION {"citationID":"sioWVNmH","properties":{"formattedCitation":"(17)","plainCitation":"(17)","noteIndex":0},"citationItems":[{"id":52,"uris":["http://zotero.org/users/local/ydeP6pQP/items/RASJUQJD"],"itemData":{"id":52,"type":"article-journal","abstract":"Non-biological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5416AC">
        <w:t>(17)</w:t>
      </w:r>
      <w:r w:rsidRPr="00527ECF">
        <w:fldChar w:fldCharType="end"/>
      </w:r>
      <w:r w:rsidRPr="00527ECF">
        <w:t xml:space="preserve">, and has been subsequently adapted for neuroimaging and shown to preserve biological associations while effectively removing unwanted non-biological variation associated with site/scanner </w:t>
      </w:r>
      <w:r w:rsidRPr="00527ECF">
        <w:fldChar w:fldCharType="begin"/>
      </w:r>
      <w:r w:rsidR="005416AC">
        <w:instrText xml:space="preserve"> ADDIN ZOTERO_ITEM CSL_CITATION {"citationID":"6mEnxme6","properties":{"formattedCitation":"(18)","plainCitation":"(18)","noteIndex":0},"citationItems":[{"id":55,"uris":["http://zotero.org/users/local/ydeP6pQP/items/3DWUZN7J"],"itemData":{"id":55,"type":"article-journal","abstract":"With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brain.","container-title":"NeuroImage","DOI":"10.1016/j.neuroimage.2017.11.024","ISSN":"1053-8119","journalAbbreviation":"Neuroimage","note":"PMID: 29155184\nPMCID: PMC5845848","page":"104-120","source":"PubMed Central","title":"Harmonization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Pr="00527ECF">
        <w:fldChar w:fldCharType="separate"/>
      </w:r>
      <w:r w:rsidR="005416AC">
        <w:t>(18)</w:t>
      </w:r>
      <w:r w:rsidRPr="00527ECF">
        <w:fldChar w:fldCharType="end"/>
      </w:r>
      <w:r w:rsidRPr="00527ECF">
        <w:t xml:space="preserve">. The longitudinal adaptation, which uses random effects to account for within-subject repeated measures, has been shown to further increase statistical power in longitudinal neuroimaging analyses </w:t>
      </w:r>
      <w:r w:rsidRPr="00527ECF">
        <w:fldChar w:fldCharType="begin"/>
      </w:r>
      <w:r w:rsidR="005416AC">
        <w:instrText xml:space="preserve"> ADDIN ZOTERO_ITEM CSL_CITATION {"citationID":"jxbV3JNH","properties":{"formattedCitation":"(16)","plainCitation":"(16)","noteIndex":0},"citationItems":[{"id":49,"uris":["http://zotero.org/users/local/ydeP6pQP/items/HRE2IS2K"],"itemData":{"id":49,"type":"article-journal","abstract":"While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5416AC">
        <w:t>(16)</w:t>
      </w:r>
      <w:r w:rsidRPr="00527ECF">
        <w:fldChar w:fldCharType="end"/>
      </w:r>
      <w:r w:rsidRPr="00527ECF">
        <w:t xml:space="preserve">. </w:t>
      </w:r>
      <w:proofErr w:type="spellStart"/>
      <w:r w:rsidRPr="00527ECF">
        <w:t>LongComBat</w:t>
      </w:r>
      <w:proofErr w:type="spellEnd"/>
      <w:r w:rsidRPr="00527ECF">
        <w:t xml:space="preserve"> has been used to harmonize structural MRI features in a longitudinal analysis of cortical thickness and volume in a largely overlapping cohort of individuals 22qDel and controls </w:t>
      </w:r>
      <w:r w:rsidRPr="00527ECF">
        <w:fldChar w:fldCharType="begin"/>
      </w:r>
      <w:r w:rsidR="005416AC">
        <w:instrText xml:space="preserve"> ADDIN ZOTERO_ITEM CSL_CITATION {"citationID":"v7Dczml3","properties":{"formattedCitation":"(19)","plainCitation":"(19)","noteIndex":0},"citationItems":[{"id":61,"uris":["http://zotero.org/users/local/ydeP6pQP/items/PMNE2BJT"],"itemData":{"id":61,"type":"article-journal","abstract":"Probing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5416AC">
        <w:t>(19)</w:t>
      </w:r>
      <w:r w:rsidRPr="00527ECF">
        <w:fldChar w:fldCharType="end"/>
      </w:r>
      <w:r w:rsidRPr="00527ECF">
        <w:t>.</w:t>
      </w:r>
      <w:r w:rsidR="00907BF1">
        <w:t xml:space="preserve"> </w:t>
      </w:r>
    </w:p>
    <w:p w14:paraId="6B46DD6A" w14:textId="77777777" w:rsidR="003F27C9" w:rsidRPr="00527ECF" w:rsidRDefault="003F27C9">
      <w:pPr>
        <w:spacing w:line="480" w:lineRule="auto"/>
        <w:jc w:val="both"/>
        <w:rPr>
          <w:i/>
        </w:rPr>
      </w:pPr>
    </w:p>
    <w:p w14:paraId="18A91D54" w14:textId="77777777" w:rsidR="003F27C9" w:rsidRPr="00527ECF" w:rsidRDefault="00000000">
      <w:pPr>
        <w:spacing w:line="480" w:lineRule="auto"/>
        <w:jc w:val="both"/>
        <w:rPr>
          <w:i/>
        </w:rPr>
      </w:pPr>
      <w:r w:rsidRPr="00527ECF">
        <w:rPr>
          <w:i/>
          <w:u w:val="single"/>
        </w:rPr>
        <w:t>Modeling age trajectories</w:t>
      </w:r>
      <w:r w:rsidRPr="00527ECF">
        <w:rPr>
          <w:i/>
        </w:rPr>
        <w:t xml:space="preserve"> </w:t>
      </w:r>
    </w:p>
    <w:p w14:paraId="2AD6CFB2" w14:textId="74C6EB57" w:rsidR="003F27C9" w:rsidRPr="00527ECF" w:rsidRDefault="00000000">
      <w:pPr>
        <w:spacing w:line="480" w:lineRule="auto"/>
        <w:jc w:val="both"/>
      </w:pPr>
      <w:r w:rsidRPr="00527ECF">
        <w:t xml:space="preserve">Nonlinear relationships between age and thalamocortical connectivity in 22qDel and TD youth were assessed with general additive mixed models (GAMMs) as in </w:t>
      </w:r>
      <w:proofErr w:type="spellStart"/>
      <w:r w:rsidRPr="00527ECF">
        <w:t>Jalbrzikowski</w:t>
      </w:r>
      <w:proofErr w:type="spellEnd"/>
      <w:r w:rsidRPr="00527ECF">
        <w:t xml:space="preserve"> et al., 2022 </w:t>
      </w:r>
      <w:r w:rsidRPr="00527ECF">
        <w:fldChar w:fldCharType="begin"/>
      </w:r>
      <w:r w:rsidR="005416AC">
        <w:instrText xml:space="preserve"> ADDIN ZOTERO_ITEM CSL_CITATION {"citationID":"mnifWWHh","properties":{"formattedCitation":"(19)","plainCitation":"(19)","noteIndex":0},"citationItems":[{"id":61,"uris":["http://zotero.org/users/local/ydeP6pQP/items/PMNE2BJT"],"itemData":{"id":61,"type":"article-journal","abstract":"Probing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5416AC">
        <w:t>(19)</w:t>
      </w:r>
      <w:r w:rsidRPr="00527ECF">
        <w:fldChar w:fldCharType="end"/>
      </w:r>
      <w:r w:rsidRPr="00527ECF">
        <w:t xml:space="preserve"> using the </w:t>
      </w:r>
      <w:proofErr w:type="spellStart"/>
      <w:r w:rsidRPr="00527ECF">
        <w:t>mgcv</w:t>
      </w:r>
      <w:proofErr w:type="spellEnd"/>
      <w:r w:rsidRPr="00527ECF">
        <w:t xml:space="preserve"> package in R. Like linear mixed effects models, GAMMs can account for repeated within-subject measures with random effects. Non-linear curves are estimated with </w:t>
      </w:r>
      <w:proofErr w:type="spellStart"/>
      <w:r w:rsidRPr="00527ECF">
        <w:t>basis</w:t>
      </w:r>
      <w:proofErr w:type="spellEnd"/>
      <w:r w:rsidRPr="00527ECF">
        <w:t xml:space="preserve"> functions, with overfitting prevented by penalization of polynomials and restricted estimation of maximum likelihood </w:t>
      </w:r>
      <w:r w:rsidRPr="00527ECF">
        <w:fldChar w:fldCharType="begin"/>
      </w:r>
      <w:r w:rsidR="005416AC">
        <w:instrText xml:space="preserve"> ADDIN ZOTERO_ITEM CSL_CITATION {"citationID":"Kymm9Wkp","properties":{"formattedCitation":"(20\\uc0\\u8211{}22)","plainCitation":"(20–22)","noteIndex":0},"citationItems":[{"id":180,"uris":["http://zotero.org/users/local/ydeP6pQP/items/M8I8LB6H"],"itemData":{"id":180,"type":"chapter","abstract":"This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J."}],"issued":{"date-parts":[["1992"]]}}},{"id":188,"uris":["http://zotero.org/users/local/ydeP6pQP/items/KHNCTEZP"],"itemData":{"id":188,"type":"article-journal","abstract":"Representation of generalized additive models (GAM's) using penalized regression splines allows GAM's to be employed in a straightforward manner using penalized regression methods. Not only is inference facilitated by this approach, but it is also possible to integrate model selection in the form of smoothing parameter selection into model fitting in a computationally efficient manner using well founded criteria such as generalized cross-validation. The current fitting and smoothing parameter selection methods for such models are usually effective, but do not provide the level of numerical stability to which users of linear regression packages, for example, are accustomed. In particular the existing methods cannot deal adequately with numerical rank deficiency of the GAM fitting problem, and it is not straightforward to produce methods that can do so, given that the degree of rank deficiency can be smoothing parameter dependent. In addition, models with the potential flexibility of GAM's can also present practical fitting difficulties as a result of indeterminacy in the model likelihood: Data with many zeros fitted by a model with a log link are a good example. In this article it is proposed that GAM's with a ridge penalty provide a practical solution in such circumstances, and a multiple smoothing parameter selection method suitable for use in the presence of such a penalty is developed. The method is based on the pivoted QR decomposition and the singular value decomposition, so that with or without a ridge penalty it has good error propagation properties and is capable of detecting and coping elegantly with numerical rank deficiency. The method also allows mixtures of user specified and estimated smoothing parameters and the setting of lower bounds on smoothing parameters. In terms of computational efficiency, the method compares well with existing methods. A simulation study compares the method to existing methods, including treating GAM's as mixed models.","container-title":"Journal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N."}],"issued":{"date-parts":[["2011"]]}}}],"schema":"https://github.com/citation-style-language/schema/raw/master/csl-citation.json"} </w:instrText>
      </w:r>
      <w:r w:rsidRPr="00527ECF">
        <w:fldChar w:fldCharType="separate"/>
      </w:r>
      <w:r w:rsidR="005416AC" w:rsidRPr="005416AC">
        <w:t>(20–22)</w:t>
      </w:r>
      <w:r w:rsidRPr="00527ECF">
        <w:fldChar w:fldCharType="end"/>
      </w:r>
      <w:r w:rsidRPr="00527ECF">
        <w:t xml:space="preserve">. We examined the smoothed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scanner, and with a random intercept for subject ID. Test statistics were collected for the smoothed effect of age in each group, and </w:t>
      </w:r>
      <w:r w:rsidRPr="00527ECF">
        <w:rPr>
          <w:i/>
        </w:rPr>
        <w:t>p</w:t>
      </w:r>
      <w:r w:rsidRPr="00527ECF">
        <w:t xml:space="preserve">-values were corrected for multiple comparisons with False Discovery Rate </w:t>
      </w:r>
      <w:r w:rsidRPr="00527ECF">
        <w:fldChar w:fldCharType="begin"/>
      </w:r>
      <w:r w:rsidR="005416AC">
        <w:instrText xml:space="preserve"> ADDIN ZOTERO_ITEM CSL_CITATION {"citationID":"YLagdFHd","properties":{"formattedCitation":"(23)","plainCitation":"(23)","noteIndex":0},"citationItems":[{"id":64,"uris":["http://zotero.org/users/local/ydeP6pQP/items/YJGUL7XA"],"itemData":{"id":64,"type":"article-journal","abstract":"The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Pr="00527ECF">
        <w:fldChar w:fldCharType="separate"/>
      </w:r>
      <w:r w:rsidR="005416AC">
        <w:t>(23)</w:t>
      </w:r>
      <w:r w:rsidRPr="00527ECF">
        <w:fldChar w:fldCharType="end"/>
      </w:r>
      <w:r w:rsidRPr="00527ECF">
        <w:t xml:space="preserve">. To identify age ranges of significant TCC change in each group, the first derivative of </w:t>
      </w:r>
      <w:r w:rsidRPr="00527ECF">
        <w:lastRenderedPageBreak/>
        <w:t xml:space="preserve">the age curve was taken, and ages in which the 95% confidence interval (CI) did not include zero for the first derivative were considered to represent significant age-associated change. Similarly, age ranges with significant group differences in TCC were determined where the 95% CI for the group difference in age smooths did not include zero. </w:t>
      </w:r>
    </w:p>
    <w:p w14:paraId="0DEAB1A4" w14:textId="77777777" w:rsidR="003F27C9" w:rsidRPr="00527ECF" w:rsidRDefault="003F27C9">
      <w:pPr>
        <w:spacing w:line="480" w:lineRule="auto"/>
        <w:jc w:val="both"/>
        <w:rPr>
          <w:b/>
        </w:rPr>
      </w:pPr>
    </w:p>
    <w:p w14:paraId="7FAD891C" w14:textId="77777777" w:rsidR="003F27C9" w:rsidRPr="00527ECF" w:rsidRDefault="00000000">
      <w:pPr>
        <w:spacing w:line="480" w:lineRule="auto"/>
        <w:jc w:val="both"/>
        <w:rPr>
          <w:u w:val="single"/>
        </w:rPr>
      </w:pPr>
      <w:r w:rsidRPr="00527ECF">
        <w:rPr>
          <w:i/>
          <w:u w:val="single"/>
        </w:rPr>
        <w:t>Secondary analyses</w:t>
      </w:r>
    </w:p>
    <w:p w14:paraId="3F7201A4" w14:textId="7CAAA078" w:rsidR="003F27C9" w:rsidRPr="00527ECF" w:rsidRDefault="00000000">
      <w:pPr>
        <w:spacing w:line="480" w:lineRule="auto"/>
        <w:jc w:val="both"/>
      </w:pPr>
      <w:r w:rsidRPr="00527ECF">
        <w:t>To test the robustness of our models to various assumptions we performed a range of additional analyses. In our primary analyses, movement was corrected by scrubbing and by regression of motion traces from the BOLD time series, but as a supplementary analysis we repeated the main GAMMs with motion</w:t>
      </w:r>
      <w:r w:rsidR="008A2542">
        <w:t xml:space="preserve"> </w:t>
      </w:r>
      <w:r w:rsidRPr="00527ECF">
        <w:t xml:space="preserve">(percent frames flagged) as an additional covariate. Similarly, additional separate models were tested with antipsychotic medication status or congenital cardiac diagnosis. To test robustness to outliers, 90% Winsorization was performed, restricting extreme values to the 5th and 95th percentiles, and the main GAMM analysis was repeated on this modified input. Additionally, we repeated the main analyses with inputs that had not been subjected to global signal regression (GSR) as a preprocessing step. To quantify the relationship between movement and FC with and without GSR, we performed QC-FC analysis, an approach developed by Power et al. </w:t>
      </w:r>
      <w:r w:rsidRPr="00527ECF">
        <w:fldChar w:fldCharType="begin"/>
      </w:r>
      <w:r w:rsidR="005416AC">
        <w:instrText xml:space="preserve"> ADDIN ZOTERO_ITEM CSL_CITATION {"citationID":"uGTsZDV0","properties":{"formattedCitation":"(24)","plainCitation":"(24)","noteIndex":0},"citationItems":[{"id":58,"uris":["http://zotero.org/users/local/ydeP6pQP/items/VQP4EWQ8"],"itemData":{"id":58,"type":"article-journal","abstract":"The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5416AC">
        <w:t>(24)</w:t>
      </w:r>
      <w:r w:rsidRPr="00527ECF">
        <w:fldChar w:fldCharType="end"/>
      </w:r>
      <w:r w:rsidRPr="00527ECF">
        <w:t xml:space="preserve">. To test the impact of using data from two scanners, the main GAMM analysis was repeated with only the Trio data (Prisma scans excluded). The Prisma cohort alone did not have enough scans to test an equivalent model. </w:t>
      </w:r>
    </w:p>
    <w:p w14:paraId="13B5BDD5" w14:textId="77777777" w:rsidR="003F27C9" w:rsidRPr="00527ECF" w:rsidRDefault="003F27C9">
      <w:pPr>
        <w:spacing w:line="480" w:lineRule="auto"/>
        <w:jc w:val="both"/>
        <w:rPr>
          <w:b/>
        </w:rPr>
      </w:pPr>
    </w:p>
    <w:p w14:paraId="3E405245" w14:textId="77777777" w:rsidR="003F27C9" w:rsidRPr="00527ECF" w:rsidRDefault="003F27C9">
      <w:pPr>
        <w:spacing w:line="480" w:lineRule="auto"/>
        <w:jc w:val="both"/>
        <w:rPr>
          <w:b/>
        </w:rPr>
      </w:pPr>
    </w:p>
    <w:p w14:paraId="44A0FC41" w14:textId="77777777" w:rsidR="003F27C9" w:rsidRPr="00527ECF" w:rsidRDefault="003F27C9">
      <w:pPr>
        <w:spacing w:line="480" w:lineRule="auto"/>
        <w:jc w:val="both"/>
        <w:rPr>
          <w:b/>
        </w:rPr>
      </w:pPr>
    </w:p>
    <w:p w14:paraId="6EFA259F" w14:textId="77777777" w:rsidR="003F27C9" w:rsidRPr="00527ECF" w:rsidRDefault="003F27C9">
      <w:pPr>
        <w:spacing w:line="480" w:lineRule="auto"/>
        <w:jc w:val="both"/>
        <w:rPr>
          <w:b/>
        </w:rPr>
      </w:pPr>
    </w:p>
    <w:p w14:paraId="0D824711" w14:textId="77777777" w:rsidR="003F27C9" w:rsidRPr="00527ECF" w:rsidRDefault="003F27C9">
      <w:pPr>
        <w:spacing w:line="480" w:lineRule="auto"/>
        <w:jc w:val="both"/>
        <w:rPr>
          <w:b/>
        </w:rPr>
      </w:pPr>
    </w:p>
    <w:p w14:paraId="59ED05DB" w14:textId="77777777" w:rsidR="003F27C9" w:rsidRPr="00527ECF" w:rsidRDefault="003F27C9">
      <w:pPr>
        <w:spacing w:line="480" w:lineRule="auto"/>
        <w:jc w:val="both"/>
        <w:rPr>
          <w:b/>
        </w:rPr>
      </w:pPr>
    </w:p>
    <w:p w14:paraId="15CDBBFF" w14:textId="6F7808C5" w:rsidR="003F27C9" w:rsidRPr="003F1515" w:rsidRDefault="003F1515">
      <w:pPr>
        <w:spacing w:line="480" w:lineRule="auto"/>
        <w:jc w:val="both"/>
        <w:rPr>
          <w:b/>
        </w:rPr>
      </w:pPr>
      <w:r w:rsidRPr="003F1515">
        <w:lastRenderedPageBreak/>
        <w:drawing>
          <wp:anchor distT="0" distB="0" distL="114300" distR="114300" simplePos="0" relativeHeight="251658240" behindDoc="1" locked="0" layoutInCell="1" allowOverlap="1" wp14:anchorId="5FF8A3C2" wp14:editId="3FBC6ED3">
            <wp:simplePos x="0" y="0"/>
            <wp:positionH relativeFrom="column">
              <wp:posOffset>-667512</wp:posOffset>
            </wp:positionH>
            <wp:positionV relativeFrom="paragraph">
              <wp:posOffset>603250</wp:posOffset>
            </wp:positionV>
            <wp:extent cx="7360920" cy="6713220"/>
            <wp:effectExtent l="0" t="0" r="5080" b="5080"/>
            <wp:wrapTight wrapText="bothSides">
              <wp:wrapPolygon edited="0">
                <wp:start x="0" y="0"/>
                <wp:lineTo x="0" y="21575"/>
                <wp:lineTo x="21578" y="21575"/>
                <wp:lineTo x="21578" y="0"/>
                <wp:lineTo x="0" y="0"/>
              </wp:wrapPolygon>
            </wp:wrapTight>
            <wp:docPr id="11984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588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60920" cy="6713220"/>
                    </a:xfrm>
                    <a:prstGeom prst="rect">
                      <a:avLst/>
                    </a:prstGeom>
                  </pic:spPr>
                </pic:pic>
              </a:graphicData>
            </a:graphic>
            <wp14:sizeRelH relativeFrom="page">
              <wp14:pctWidth>0</wp14:pctWidth>
            </wp14:sizeRelH>
            <wp14:sizeRelV relativeFrom="page">
              <wp14:pctHeight>0</wp14:pctHeight>
            </wp14:sizeRelV>
          </wp:anchor>
        </w:drawing>
      </w:r>
      <w:r w:rsidR="00000000" w:rsidRPr="00527ECF">
        <w:rPr>
          <w:b/>
        </w:rPr>
        <w:br/>
        <w:t>Supplemental Results</w:t>
      </w:r>
    </w:p>
    <w:p w14:paraId="10B1DBF7" w14:textId="35AF61FB" w:rsidR="003F27C9" w:rsidRPr="00527ECF" w:rsidRDefault="00000000" w:rsidP="008A2542">
      <w:pPr>
        <w:spacing w:line="240" w:lineRule="auto"/>
        <w:jc w:val="both"/>
      </w:pPr>
      <w:r w:rsidRPr="00527ECF">
        <w:rPr>
          <w:b/>
        </w:rPr>
        <w:t xml:space="preserve">Figure S1. Age trajectories for all networks.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all nine networks from the primary analysis. </w:t>
      </w:r>
    </w:p>
    <w:p w14:paraId="12503A4C" w14:textId="0A88672D" w:rsidR="003F27C9" w:rsidRPr="00527ECF" w:rsidRDefault="003F27C9">
      <w:pPr>
        <w:spacing w:line="480" w:lineRule="auto"/>
        <w:jc w:val="both"/>
      </w:pPr>
    </w:p>
    <w:p w14:paraId="2AD9257D" w14:textId="5D607811" w:rsidR="003F27C9" w:rsidRPr="00527ECF" w:rsidRDefault="003F27C9">
      <w:pPr>
        <w:spacing w:line="480" w:lineRule="auto"/>
        <w:jc w:val="both"/>
      </w:pPr>
    </w:p>
    <w:p w14:paraId="678008DF" w14:textId="26648CAB" w:rsidR="003F27C9" w:rsidRPr="00527ECF" w:rsidRDefault="00000000">
      <w:pPr>
        <w:spacing w:line="480" w:lineRule="auto"/>
        <w:jc w:val="both"/>
      </w:pPr>
      <w:r w:rsidRPr="00527ECF">
        <w:rPr>
          <w:noProof/>
        </w:rPr>
        <w:lastRenderedPageBreak/>
        <w:drawing>
          <wp:inline distT="114300" distB="114300" distL="114300" distR="114300" wp14:anchorId="3E9A856F" wp14:editId="2B69340E">
            <wp:extent cx="3086307" cy="225171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8"/>
                    <a:srcRect l="1747"/>
                    <a:stretch/>
                  </pic:blipFill>
                  <pic:spPr bwMode="auto">
                    <a:xfrm>
                      <a:off x="0" y="0"/>
                      <a:ext cx="3096927" cy="2259458"/>
                    </a:xfrm>
                    <a:prstGeom prst="rect">
                      <a:avLst/>
                    </a:prstGeom>
                    <a:ln>
                      <a:noFill/>
                    </a:ln>
                    <a:extLst>
                      <a:ext uri="{53640926-AAD7-44D8-BBD7-CCE9431645EC}">
                        <a14:shadowObscured xmlns:a14="http://schemas.microsoft.com/office/drawing/2010/main"/>
                      </a:ext>
                    </a:extLst>
                  </pic:spPr>
                </pic:pic>
              </a:graphicData>
            </a:graphic>
          </wp:inline>
        </w:drawing>
      </w:r>
    </w:p>
    <w:p w14:paraId="35E13265" w14:textId="66473713" w:rsidR="003F27C9" w:rsidRPr="00527ECF" w:rsidRDefault="00000000" w:rsidP="00EF65C2">
      <w:pPr>
        <w:spacing w:line="240" w:lineRule="auto"/>
        <w:jc w:val="both"/>
      </w:pPr>
      <w:r w:rsidRPr="00527ECF">
        <w:rPr>
          <w:b/>
        </w:rPr>
        <w:t xml:space="preserve">Table S1. Periods of significant group difference in TCC developmental trajectory. </w:t>
      </w:r>
      <w:r w:rsidRPr="00527ECF">
        <w:t>For each network</w:t>
      </w:r>
      <w:r w:rsidRPr="00527ECF">
        <w:rPr>
          <w:b/>
        </w:rPr>
        <w:t xml:space="preserve">, </w:t>
      </w:r>
      <w:proofErr w:type="spellStart"/>
      <w:r w:rsidRPr="00527ECF">
        <w:t>sig_age_range</w:t>
      </w:r>
      <w:proofErr w:type="spellEnd"/>
      <w:r w:rsidRPr="00527ECF">
        <w:t xml:space="preserve"> describes age ranges during which </w:t>
      </w:r>
      <w:proofErr w:type="gramStart"/>
      <w:r w:rsidRPr="00527ECF">
        <w:t>22qDel</w:t>
      </w:r>
      <w:proofErr w:type="gramEnd"/>
      <w:r w:rsidR="00B57317">
        <w:t xml:space="preserve"> </w:t>
      </w:r>
      <w:r w:rsidRPr="00527ECF">
        <w:t>and TD curves were significantly different (i.e. 95% confidence interval for the difference in age smooths does not include zero). If multiple discontinuous age periods of significant difference are found for a network (e.g.</w:t>
      </w:r>
      <w:r w:rsidR="00273C6B">
        <w:t>,</w:t>
      </w:r>
      <w:r w:rsidRPr="00527ECF">
        <w:t xml:space="preserve"> frontoparietal or somatomotor), they are separated by “|”.</w:t>
      </w:r>
    </w:p>
    <w:p w14:paraId="1B572F4D" w14:textId="3EA1B1D6" w:rsidR="003F27C9" w:rsidRPr="00527ECF" w:rsidRDefault="003F27C9">
      <w:pPr>
        <w:spacing w:line="480" w:lineRule="auto"/>
        <w:jc w:val="both"/>
      </w:pPr>
    </w:p>
    <w:p w14:paraId="725A9ADC" w14:textId="2B9B0B8B" w:rsidR="003F27C9" w:rsidRPr="00527ECF" w:rsidRDefault="00000000">
      <w:pPr>
        <w:spacing w:line="480" w:lineRule="auto"/>
        <w:jc w:val="both"/>
      </w:pPr>
      <w:r w:rsidRPr="00527ECF">
        <w:br w:type="page"/>
      </w:r>
    </w:p>
    <w:p w14:paraId="18F3E422" w14:textId="77777777" w:rsidR="003F27C9" w:rsidRPr="00527ECF" w:rsidRDefault="00000000">
      <w:pPr>
        <w:spacing w:line="480" w:lineRule="auto"/>
        <w:jc w:val="both"/>
      </w:pPr>
      <w:r w:rsidRPr="00527ECF">
        <w:rPr>
          <w:noProof/>
        </w:rPr>
        <w:lastRenderedPageBreak/>
        <w:drawing>
          <wp:inline distT="114300" distB="114300" distL="114300" distR="114300" wp14:anchorId="487FEAD1" wp14:editId="6E601D21">
            <wp:extent cx="3690938" cy="30107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690938" cy="3010765"/>
                    </a:xfrm>
                    <a:prstGeom prst="rect">
                      <a:avLst/>
                    </a:prstGeom>
                    <a:ln/>
                  </pic:spPr>
                </pic:pic>
              </a:graphicData>
            </a:graphic>
          </wp:inline>
        </w:drawing>
      </w:r>
    </w:p>
    <w:p w14:paraId="5F83A9B7" w14:textId="77777777" w:rsidR="003F27C9" w:rsidRPr="00527ECF" w:rsidRDefault="00000000" w:rsidP="00EF65C2">
      <w:pPr>
        <w:spacing w:line="240" w:lineRule="auto"/>
        <w:jc w:val="both"/>
      </w:pPr>
      <w:r w:rsidRPr="00527ECF">
        <w:rPr>
          <w:b/>
        </w:rPr>
        <w:t xml:space="preserve">Table S2. Excluding Prisma data. </w:t>
      </w:r>
      <w:r w:rsidRPr="00527ECF">
        <w:t xml:space="preserve">GAMM age coefficients, </w:t>
      </w:r>
      <w:r w:rsidRPr="00527ECF">
        <w:rPr>
          <w:i/>
        </w:rPr>
        <w:t>p</w:t>
      </w:r>
      <w:r w:rsidRPr="00527ECF">
        <w:t xml:space="preserve">-values, FDR corrected </w:t>
      </w:r>
      <w:r w:rsidRPr="00527ECF">
        <w:rPr>
          <w:i/>
        </w:rPr>
        <w:t>q</w:t>
      </w:r>
      <w:r w:rsidRPr="00527ECF">
        <w:t xml:space="preserve">-values, and periods of significant change, tested using only data from the Siemens Trio scanner. </w:t>
      </w:r>
    </w:p>
    <w:p w14:paraId="5912C89E" w14:textId="77777777" w:rsidR="003F27C9" w:rsidRPr="00527ECF" w:rsidRDefault="003F27C9">
      <w:pPr>
        <w:spacing w:line="480" w:lineRule="auto"/>
        <w:jc w:val="both"/>
      </w:pPr>
    </w:p>
    <w:p w14:paraId="67B25581" w14:textId="5EECB9A8" w:rsidR="003F27C9" w:rsidRPr="00527ECF" w:rsidRDefault="00000000">
      <w:pPr>
        <w:spacing w:line="480" w:lineRule="auto"/>
        <w:jc w:val="both"/>
      </w:pPr>
      <w:r w:rsidRPr="00527ECF">
        <w:br w:type="page"/>
      </w:r>
    </w:p>
    <w:p w14:paraId="3F87237C" w14:textId="77777777" w:rsidR="003F27C9" w:rsidRPr="00527ECF" w:rsidRDefault="00000000">
      <w:pPr>
        <w:spacing w:line="480" w:lineRule="auto"/>
        <w:jc w:val="both"/>
      </w:pPr>
      <w:r w:rsidRPr="00527ECF">
        <w:rPr>
          <w:noProof/>
        </w:rPr>
        <w:lastRenderedPageBreak/>
        <w:drawing>
          <wp:inline distT="114300" distB="114300" distL="114300" distR="114300" wp14:anchorId="784A6695" wp14:editId="66C8EB1C">
            <wp:extent cx="4026148" cy="306324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0"/>
                    <a:srcRect l="1123"/>
                    <a:stretch/>
                  </pic:blipFill>
                  <pic:spPr bwMode="auto">
                    <a:xfrm>
                      <a:off x="0" y="0"/>
                      <a:ext cx="4026958" cy="3063856"/>
                    </a:xfrm>
                    <a:prstGeom prst="rect">
                      <a:avLst/>
                    </a:prstGeom>
                    <a:ln>
                      <a:noFill/>
                    </a:ln>
                    <a:extLst>
                      <a:ext uri="{53640926-AAD7-44D8-BBD7-CCE9431645EC}">
                        <a14:shadowObscured xmlns:a14="http://schemas.microsoft.com/office/drawing/2010/main"/>
                      </a:ext>
                    </a:extLst>
                  </pic:spPr>
                </pic:pic>
              </a:graphicData>
            </a:graphic>
          </wp:inline>
        </w:drawing>
      </w:r>
      <w:r w:rsidRPr="00527ECF">
        <w:t xml:space="preserve"> </w:t>
      </w:r>
    </w:p>
    <w:p w14:paraId="3E691BEC" w14:textId="77777777" w:rsidR="003F27C9" w:rsidRPr="00527ECF" w:rsidRDefault="00000000" w:rsidP="00EF65C2">
      <w:pPr>
        <w:spacing w:line="240" w:lineRule="auto"/>
        <w:jc w:val="both"/>
      </w:pPr>
      <w:r w:rsidRPr="00527ECF">
        <w:rPr>
          <w:b/>
        </w:rPr>
        <w:t xml:space="preserve">Table S3. Winsorization for outliers. </w:t>
      </w:r>
      <w:r w:rsidRPr="00527ECF">
        <w:t xml:space="preserve">Repeat of main analyses (with full </w:t>
      </w:r>
      <w:proofErr w:type="spellStart"/>
      <w:r w:rsidRPr="00527ECF">
        <w:t>trio+prisma</w:t>
      </w:r>
      <w:proofErr w:type="spellEnd"/>
      <w:r w:rsidRPr="00527ECF">
        <w:t xml:space="preserve"> dataset) with the additional step of 90% Winsorization, which transforms all outliers above the 95th percentile to the 95th percentile, and all below the 5th percentile to the 5th percentile. </w:t>
      </w:r>
    </w:p>
    <w:p w14:paraId="6023DFA5" w14:textId="4C331656" w:rsidR="003F27C9" w:rsidRPr="00527ECF" w:rsidRDefault="00000000">
      <w:pPr>
        <w:spacing w:line="480" w:lineRule="auto"/>
        <w:jc w:val="both"/>
      </w:pPr>
      <w:r w:rsidRPr="00527ECF">
        <w:br w:type="page"/>
      </w:r>
    </w:p>
    <w:p w14:paraId="5B47A611" w14:textId="77777777" w:rsidR="003F27C9" w:rsidRPr="00527ECF" w:rsidRDefault="00000000">
      <w:pPr>
        <w:spacing w:line="480" w:lineRule="auto"/>
        <w:jc w:val="both"/>
      </w:pPr>
      <w:r w:rsidRPr="00527ECF">
        <w:rPr>
          <w:noProof/>
        </w:rPr>
        <w:lastRenderedPageBreak/>
        <w:drawing>
          <wp:inline distT="114300" distB="114300" distL="114300" distR="114300" wp14:anchorId="2E2DB37E" wp14:editId="5F768432">
            <wp:extent cx="3772535" cy="3082628"/>
            <wp:effectExtent l="0" t="0" r="0" b="381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1"/>
                    <a:srcRect l="1197"/>
                    <a:stretch/>
                  </pic:blipFill>
                  <pic:spPr bwMode="auto">
                    <a:xfrm>
                      <a:off x="0" y="0"/>
                      <a:ext cx="3772899" cy="3082925"/>
                    </a:xfrm>
                    <a:prstGeom prst="rect">
                      <a:avLst/>
                    </a:prstGeom>
                    <a:ln>
                      <a:noFill/>
                    </a:ln>
                    <a:extLst>
                      <a:ext uri="{53640926-AAD7-44D8-BBD7-CCE9431645EC}">
                        <a14:shadowObscured xmlns:a14="http://schemas.microsoft.com/office/drawing/2010/main"/>
                      </a:ext>
                    </a:extLst>
                  </pic:spPr>
                </pic:pic>
              </a:graphicData>
            </a:graphic>
          </wp:inline>
        </w:drawing>
      </w:r>
    </w:p>
    <w:p w14:paraId="66BAADF2" w14:textId="77777777" w:rsidR="003F27C9" w:rsidRPr="00527ECF" w:rsidRDefault="00000000" w:rsidP="00EF65C2">
      <w:pPr>
        <w:spacing w:line="240" w:lineRule="auto"/>
        <w:jc w:val="both"/>
      </w:pPr>
      <w:r w:rsidRPr="00527ECF">
        <w:rPr>
          <w:b/>
        </w:rPr>
        <w:t xml:space="preserve">Table S4. Controlling for movement. </w:t>
      </w:r>
      <w:r w:rsidRPr="00527ECF">
        <w:t xml:space="preserve">Repeat of main analyses with movement (percent of frames scrubbed) as an additional fixed effect in the GAMM. </w:t>
      </w:r>
    </w:p>
    <w:p w14:paraId="22AFF99A" w14:textId="77777777" w:rsidR="003F27C9" w:rsidRPr="00527ECF" w:rsidRDefault="003F27C9">
      <w:pPr>
        <w:spacing w:line="480" w:lineRule="auto"/>
        <w:jc w:val="both"/>
      </w:pPr>
    </w:p>
    <w:p w14:paraId="389C7F41" w14:textId="412F3C8F" w:rsidR="003F27C9" w:rsidRPr="00527ECF" w:rsidRDefault="00000000">
      <w:pPr>
        <w:spacing w:line="480" w:lineRule="auto"/>
        <w:jc w:val="both"/>
      </w:pPr>
      <w:r w:rsidRPr="00527ECF">
        <w:br w:type="page"/>
      </w:r>
    </w:p>
    <w:p w14:paraId="66CABD13" w14:textId="77777777" w:rsidR="003F27C9" w:rsidRPr="00527ECF" w:rsidRDefault="00000000">
      <w:pPr>
        <w:spacing w:line="480" w:lineRule="auto"/>
        <w:jc w:val="both"/>
      </w:pPr>
      <w:r w:rsidRPr="00527ECF">
        <w:rPr>
          <w:noProof/>
        </w:rPr>
        <w:lastRenderedPageBreak/>
        <w:drawing>
          <wp:inline distT="114300" distB="114300" distL="114300" distR="114300" wp14:anchorId="32D2A81F" wp14:editId="56886E4C">
            <wp:extent cx="3843338" cy="309977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43338" cy="3099777"/>
                    </a:xfrm>
                    <a:prstGeom prst="rect">
                      <a:avLst/>
                    </a:prstGeom>
                    <a:ln/>
                  </pic:spPr>
                </pic:pic>
              </a:graphicData>
            </a:graphic>
          </wp:inline>
        </w:drawing>
      </w:r>
    </w:p>
    <w:p w14:paraId="0AC4614A" w14:textId="77777777" w:rsidR="003F27C9" w:rsidRPr="00527ECF" w:rsidRDefault="00000000" w:rsidP="00EF65C2">
      <w:pPr>
        <w:spacing w:line="240" w:lineRule="auto"/>
        <w:jc w:val="both"/>
        <w:rPr>
          <w:b/>
        </w:rPr>
      </w:pPr>
      <w:r w:rsidRPr="00527ECF">
        <w:rPr>
          <w:b/>
        </w:rPr>
        <w:t xml:space="preserve">Table S5. Controlling for antipsychotic medication. </w:t>
      </w:r>
      <w:r w:rsidRPr="00527ECF">
        <w:t xml:space="preserve">Repeat of main analyses with current antipsychotic medication status (true/false) as an additional fixed effect in the GAMM. </w:t>
      </w:r>
    </w:p>
    <w:p w14:paraId="4AD876F6" w14:textId="3E46E796" w:rsidR="003F27C9" w:rsidRPr="00527ECF" w:rsidRDefault="00000000">
      <w:pPr>
        <w:spacing w:line="480" w:lineRule="auto"/>
        <w:jc w:val="both"/>
      </w:pPr>
      <w:r w:rsidRPr="00527ECF">
        <w:br w:type="page"/>
      </w:r>
    </w:p>
    <w:p w14:paraId="6D58A550" w14:textId="77777777" w:rsidR="003F27C9" w:rsidRPr="00527ECF" w:rsidRDefault="00000000">
      <w:pPr>
        <w:spacing w:line="480" w:lineRule="auto"/>
        <w:jc w:val="both"/>
      </w:pPr>
      <w:r w:rsidRPr="00527ECF">
        <w:rPr>
          <w:noProof/>
        </w:rPr>
        <w:lastRenderedPageBreak/>
        <w:drawing>
          <wp:inline distT="114300" distB="114300" distL="114300" distR="114300" wp14:anchorId="4AFC4CEC" wp14:editId="4C1FE87A">
            <wp:extent cx="3895509" cy="309086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95509" cy="3090863"/>
                    </a:xfrm>
                    <a:prstGeom prst="rect">
                      <a:avLst/>
                    </a:prstGeom>
                    <a:ln/>
                  </pic:spPr>
                </pic:pic>
              </a:graphicData>
            </a:graphic>
          </wp:inline>
        </w:drawing>
      </w:r>
    </w:p>
    <w:p w14:paraId="7CCAE81E" w14:textId="77777777" w:rsidR="003F27C9" w:rsidRPr="00527ECF" w:rsidRDefault="00000000" w:rsidP="00EF65C2">
      <w:pPr>
        <w:spacing w:line="240" w:lineRule="auto"/>
        <w:jc w:val="both"/>
        <w:rPr>
          <w:b/>
        </w:rPr>
      </w:pPr>
      <w:r w:rsidRPr="00527ECF">
        <w:rPr>
          <w:b/>
        </w:rPr>
        <w:t xml:space="preserve">Table S6. Controlling for cardiac diagnosis. </w:t>
      </w:r>
      <w:r w:rsidRPr="00527ECF">
        <w:t xml:space="preserve">Repeat of main analyses with an additional covariate for lifetime congenital cardiac diagnosis including ventral/atrial septal defect, valvular anomalies, and </w:t>
      </w:r>
      <w:proofErr w:type="spellStart"/>
      <w:r w:rsidRPr="00527ECF">
        <w:t>conotruncal</w:t>
      </w:r>
      <w:proofErr w:type="spellEnd"/>
      <w:r w:rsidRPr="00527ECF">
        <w:t xml:space="preserve"> anomalies. </w:t>
      </w:r>
    </w:p>
    <w:p w14:paraId="0F37C30F" w14:textId="77777777" w:rsidR="003F27C9" w:rsidRDefault="003F27C9">
      <w:pPr>
        <w:spacing w:line="480" w:lineRule="auto"/>
        <w:jc w:val="both"/>
        <w:rPr>
          <w:b/>
        </w:rPr>
      </w:pPr>
    </w:p>
    <w:p w14:paraId="380BDC86" w14:textId="77777777" w:rsidR="00EF65C2" w:rsidRDefault="00EF65C2">
      <w:pPr>
        <w:spacing w:line="480" w:lineRule="auto"/>
        <w:jc w:val="both"/>
        <w:rPr>
          <w:b/>
        </w:rPr>
      </w:pPr>
    </w:p>
    <w:p w14:paraId="687A4B19" w14:textId="77777777" w:rsidR="003F1515" w:rsidRPr="00527ECF" w:rsidRDefault="003F1515">
      <w:pPr>
        <w:spacing w:line="480" w:lineRule="auto"/>
        <w:jc w:val="both"/>
        <w:rPr>
          <w:b/>
        </w:rPr>
      </w:pPr>
    </w:p>
    <w:p w14:paraId="6942C92C" w14:textId="77777777" w:rsidR="003F27C9" w:rsidRPr="00527ECF" w:rsidRDefault="003F27C9">
      <w:pPr>
        <w:spacing w:line="480" w:lineRule="auto"/>
        <w:jc w:val="both"/>
        <w:rPr>
          <w:b/>
        </w:rPr>
      </w:pPr>
    </w:p>
    <w:p w14:paraId="422C9C10" w14:textId="77777777" w:rsidR="003F27C9" w:rsidRPr="00527ECF" w:rsidRDefault="00000000">
      <w:pPr>
        <w:spacing w:line="480" w:lineRule="auto"/>
        <w:jc w:val="both"/>
      </w:pPr>
      <w:r w:rsidRPr="00527ECF">
        <w:rPr>
          <w:noProof/>
        </w:rPr>
        <w:lastRenderedPageBreak/>
        <w:drawing>
          <wp:inline distT="114300" distB="114300" distL="114300" distR="114300" wp14:anchorId="7F267BFD" wp14:editId="05EA8502">
            <wp:extent cx="3865499" cy="32389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srcRect l="2084"/>
                    <a:stretch/>
                  </pic:blipFill>
                  <pic:spPr bwMode="auto">
                    <a:xfrm>
                      <a:off x="0" y="0"/>
                      <a:ext cx="3865810" cy="3239224"/>
                    </a:xfrm>
                    <a:prstGeom prst="rect">
                      <a:avLst/>
                    </a:prstGeom>
                    <a:ln>
                      <a:noFill/>
                    </a:ln>
                    <a:extLst>
                      <a:ext uri="{53640926-AAD7-44D8-BBD7-CCE9431645EC}">
                        <a14:shadowObscured xmlns:a14="http://schemas.microsoft.com/office/drawing/2010/main"/>
                      </a:ext>
                    </a:extLst>
                  </pic:spPr>
                </pic:pic>
              </a:graphicData>
            </a:graphic>
          </wp:inline>
        </w:drawing>
      </w:r>
    </w:p>
    <w:p w14:paraId="446BEE0D" w14:textId="11C5909A" w:rsidR="003F27C9" w:rsidRPr="00527ECF" w:rsidRDefault="00000000" w:rsidP="00EF65C2">
      <w:pPr>
        <w:spacing w:line="240" w:lineRule="auto"/>
        <w:jc w:val="both"/>
      </w:pPr>
      <w:r w:rsidRPr="00527ECF">
        <w:rPr>
          <w:b/>
        </w:rPr>
        <w:t xml:space="preserve">Table S7. Omission of global signal regression (GSR). </w:t>
      </w:r>
      <w:r w:rsidRPr="00527ECF">
        <w:t>Repeat of main analyses without GSR as a preprocessing step.</w:t>
      </w:r>
      <w:r w:rsidR="00907BF1">
        <w:t xml:space="preserve"> </w:t>
      </w:r>
    </w:p>
    <w:p w14:paraId="18F11A80" w14:textId="3A17CE02" w:rsidR="003F27C9" w:rsidRPr="00527ECF" w:rsidRDefault="00000000">
      <w:pPr>
        <w:spacing w:line="480" w:lineRule="auto"/>
        <w:jc w:val="both"/>
      </w:pPr>
      <w:r w:rsidRPr="00527ECF">
        <w:br w:type="page"/>
      </w:r>
    </w:p>
    <w:p w14:paraId="2CBDAEB8" w14:textId="064539B6" w:rsidR="003F27C9" w:rsidRPr="00527ECF" w:rsidRDefault="00000000" w:rsidP="003C3DAD">
      <w:pPr>
        <w:spacing w:line="240" w:lineRule="auto"/>
        <w:jc w:val="both"/>
      </w:pPr>
      <w:r w:rsidRPr="00527ECF">
        <w:rPr>
          <w:noProof/>
        </w:rPr>
        <w:lastRenderedPageBreak/>
        <w:drawing>
          <wp:anchor distT="0" distB="0" distL="114300" distR="114300" simplePos="0" relativeHeight="251659264" behindDoc="1" locked="0" layoutInCell="1" allowOverlap="1" wp14:anchorId="0E6B9E0C" wp14:editId="7BF422AE">
            <wp:simplePos x="0" y="0"/>
            <wp:positionH relativeFrom="column">
              <wp:posOffset>-256032</wp:posOffset>
            </wp:positionH>
            <wp:positionV relativeFrom="paragraph">
              <wp:posOffset>100584</wp:posOffset>
            </wp:positionV>
            <wp:extent cx="5943600" cy="3251200"/>
            <wp:effectExtent l="0" t="0" r="0" b="0"/>
            <wp:wrapTight wrapText="bothSides">
              <wp:wrapPolygon edited="0">
                <wp:start x="0" y="0"/>
                <wp:lineTo x="0" y="21516"/>
                <wp:lineTo x="21554" y="21516"/>
                <wp:lineTo x="21554" y="0"/>
                <wp:lineTo x="0" y="0"/>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14:sizeRelH relativeFrom="page">
              <wp14:pctWidth>0</wp14:pctWidth>
            </wp14:sizeRelH>
            <wp14:sizeRelV relativeFrom="page">
              <wp14:pctHeight>0</wp14:pctHeight>
            </wp14:sizeRelV>
          </wp:anchor>
        </w:drawing>
      </w:r>
      <w:r w:rsidRPr="00527ECF">
        <w:rPr>
          <w:b/>
        </w:rPr>
        <w:t>Figure S2. Age trajectories of frontoparietal and somatomotor thalamocortical connectivity without GSR.</w:t>
      </w:r>
      <w:r w:rsidR="00907BF1">
        <w:rPr>
          <w:b/>
        </w:rPr>
        <w:t xml:space="preserve">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frontoparietal </w:t>
      </w:r>
      <w:r w:rsidRPr="00527ECF">
        <w:rPr>
          <w:i/>
        </w:rPr>
        <w:t>(left)</w:t>
      </w:r>
      <w:r w:rsidRPr="00527ECF">
        <w:t xml:space="preserve"> and somatomotor </w:t>
      </w:r>
      <w:r w:rsidRPr="00527ECF">
        <w:rPr>
          <w:i/>
        </w:rPr>
        <w:t>(right)</w:t>
      </w:r>
      <w:r w:rsidRPr="00527ECF">
        <w:t xml:space="preserve"> networks. </w:t>
      </w:r>
    </w:p>
    <w:p w14:paraId="03E48983" w14:textId="77777777" w:rsidR="003F27C9" w:rsidRPr="00527ECF" w:rsidRDefault="003F27C9">
      <w:pPr>
        <w:spacing w:line="480" w:lineRule="auto"/>
        <w:jc w:val="both"/>
        <w:rPr>
          <w:b/>
        </w:rPr>
      </w:pPr>
    </w:p>
    <w:p w14:paraId="717C10B2" w14:textId="77777777" w:rsidR="003F27C9" w:rsidRDefault="003F27C9">
      <w:pPr>
        <w:spacing w:line="480" w:lineRule="auto"/>
        <w:jc w:val="both"/>
        <w:rPr>
          <w:b/>
        </w:rPr>
      </w:pPr>
    </w:p>
    <w:p w14:paraId="6CA1B14C" w14:textId="77777777" w:rsidR="003C3DAD" w:rsidRPr="00527ECF" w:rsidRDefault="003C3DAD">
      <w:pPr>
        <w:spacing w:line="480" w:lineRule="auto"/>
        <w:jc w:val="both"/>
        <w:rPr>
          <w:b/>
        </w:rPr>
      </w:pPr>
    </w:p>
    <w:p w14:paraId="3F998004" w14:textId="77777777" w:rsidR="003F27C9" w:rsidRPr="00527ECF" w:rsidRDefault="00000000">
      <w:pPr>
        <w:spacing w:line="480" w:lineRule="auto"/>
        <w:jc w:val="both"/>
      </w:pPr>
      <w:r w:rsidRPr="00527ECF">
        <w:rPr>
          <w:noProof/>
        </w:rPr>
        <w:lastRenderedPageBreak/>
        <w:drawing>
          <wp:inline distT="114300" distB="114300" distL="114300" distR="114300" wp14:anchorId="3E8FC9FF" wp14:editId="2D4504FE">
            <wp:extent cx="3714750" cy="35004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714750" cy="3500438"/>
                    </a:xfrm>
                    <a:prstGeom prst="rect">
                      <a:avLst/>
                    </a:prstGeom>
                    <a:ln/>
                  </pic:spPr>
                </pic:pic>
              </a:graphicData>
            </a:graphic>
          </wp:inline>
        </w:drawing>
      </w:r>
    </w:p>
    <w:p w14:paraId="7ED0DCF6" w14:textId="502BEBF8" w:rsidR="003F27C9" w:rsidRPr="00527ECF" w:rsidRDefault="00000000" w:rsidP="00EF65C2">
      <w:pPr>
        <w:spacing w:line="240" w:lineRule="auto"/>
        <w:jc w:val="both"/>
      </w:pPr>
      <w:r w:rsidRPr="00527ECF">
        <w:rPr>
          <w:b/>
        </w:rPr>
        <w:t xml:space="preserve">Figure S3. QC-FC relationships with and without GSR. </w:t>
      </w:r>
      <w:r w:rsidRPr="00527ECF">
        <w:t xml:space="preserve">For each pair of regions in the n=718 region CAB-NP parcellation, QC-FC was calculated as the Pearson correlation between functional connectivity and movement across all baseline 22qDel and TD scans </w:t>
      </w:r>
      <w:r w:rsidRPr="00527ECF">
        <w:fldChar w:fldCharType="begin"/>
      </w:r>
      <w:r w:rsidR="005416AC">
        <w:instrText xml:space="preserve"> ADDIN ZOTERO_ITEM CSL_CITATION {"citationID":"BiVBcCQJ","properties":{"formattedCitation":"(24)","plainCitation":"(24)","noteIndex":0},"citationItems":[{"id":58,"uris":["http://zotero.org/users/local/ydeP6pQP/items/VQP4EWQ8"],"itemData":{"id":58,"type":"article-journal","abstract":"The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5416AC">
        <w:t>(24)</w:t>
      </w:r>
      <w:r w:rsidRPr="00527ECF">
        <w:fldChar w:fldCharType="end"/>
      </w:r>
      <w:r w:rsidRPr="00527ECF">
        <w:t>. QC-FC values were compared for data with and without GSR using a Wilcoxon signed rank test indicating a significantly decreased relationship between movement and functional connectivity in the global signal regressed data (purple) compared to the data without GSR (yellow).</w:t>
      </w:r>
    </w:p>
    <w:p w14:paraId="2DB9BC75" w14:textId="77777777" w:rsidR="003F27C9" w:rsidRPr="00527ECF" w:rsidRDefault="003F27C9">
      <w:pPr>
        <w:spacing w:line="480" w:lineRule="auto"/>
        <w:jc w:val="both"/>
      </w:pPr>
    </w:p>
    <w:p w14:paraId="497FAE58" w14:textId="77777777" w:rsidR="003F27C9" w:rsidRPr="00527ECF" w:rsidRDefault="003F27C9">
      <w:pPr>
        <w:spacing w:line="480" w:lineRule="auto"/>
        <w:jc w:val="both"/>
      </w:pPr>
    </w:p>
    <w:p w14:paraId="48EFAA30" w14:textId="77777777" w:rsidR="00D01DB2" w:rsidRDefault="00D01DB2" w:rsidP="00D01DB2">
      <w:pPr>
        <w:spacing w:line="480" w:lineRule="auto"/>
        <w:jc w:val="both"/>
      </w:pPr>
    </w:p>
    <w:p w14:paraId="77B27750" w14:textId="77777777" w:rsidR="00D01DB2" w:rsidRDefault="00D01DB2" w:rsidP="00D01DB2">
      <w:pPr>
        <w:spacing w:line="480" w:lineRule="auto"/>
        <w:jc w:val="both"/>
      </w:pPr>
    </w:p>
    <w:p w14:paraId="2D51CA49" w14:textId="77777777" w:rsidR="00D01DB2" w:rsidRDefault="00D01DB2" w:rsidP="00D01DB2">
      <w:pPr>
        <w:spacing w:line="480" w:lineRule="auto"/>
        <w:jc w:val="both"/>
      </w:pPr>
    </w:p>
    <w:p w14:paraId="237CEBFD" w14:textId="77777777" w:rsidR="00D01DB2" w:rsidRDefault="00D01DB2" w:rsidP="00D01DB2">
      <w:pPr>
        <w:spacing w:line="480" w:lineRule="auto"/>
        <w:jc w:val="both"/>
      </w:pPr>
    </w:p>
    <w:p w14:paraId="70AFD677" w14:textId="77777777" w:rsidR="00D01DB2" w:rsidRDefault="00D01DB2">
      <w:r>
        <w:br w:type="page"/>
      </w:r>
    </w:p>
    <w:p w14:paraId="13EEEBE5" w14:textId="0A761FD5" w:rsidR="003F27C9" w:rsidRPr="00D01DB2" w:rsidRDefault="005416AC" w:rsidP="00D01DB2">
      <w:pPr>
        <w:spacing w:line="480" w:lineRule="auto"/>
        <w:jc w:val="both"/>
        <w:rPr>
          <w:b/>
        </w:rPr>
      </w:pPr>
      <w:r>
        <w:rPr>
          <w:b/>
        </w:rPr>
        <w:lastRenderedPageBreak/>
        <w:t xml:space="preserve">Supplemental </w:t>
      </w:r>
      <w:r w:rsidR="00000000" w:rsidRPr="00527ECF">
        <w:rPr>
          <w:b/>
        </w:rPr>
        <w:t>References</w:t>
      </w:r>
    </w:p>
    <w:p w14:paraId="5642830F" w14:textId="77777777" w:rsidR="005416AC" w:rsidRPr="005416AC" w:rsidRDefault="00000000" w:rsidP="005416AC">
      <w:pPr>
        <w:pStyle w:val="Bibliography"/>
      </w:pPr>
      <w:r w:rsidRPr="00527ECF">
        <w:fldChar w:fldCharType="begin"/>
      </w:r>
      <w:r w:rsidR="005416AC">
        <w:instrText xml:space="preserve"> ADDIN ZOTERO_BIBL {"uncited":[],"omitted":[],"custom":[]} CSL_BIBLIOGRAPHY </w:instrText>
      </w:r>
      <w:r w:rsidRPr="00527ECF">
        <w:fldChar w:fldCharType="separate"/>
      </w:r>
      <w:r w:rsidR="005416AC" w:rsidRPr="005416AC">
        <w:t xml:space="preserve">1. Schleifer C, Lin A, Kushan L, Ji JL, Yang G, Bearden CE, </w:t>
      </w:r>
      <w:proofErr w:type="spellStart"/>
      <w:r w:rsidR="005416AC" w:rsidRPr="005416AC">
        <w:t>Anticevic</w:t>
      </w:r>
      <w:proofErr w:type="spellEnd"/>
      <w:r w:rsidR="005416AC" w:rsidRPr="005416AC">
        <w:t xml:space="preserve"> A (2019): Dissociable Disruptions in Thalamic and Hippocampal Resting-State Functional Connectivity in Youth with 22q11.2 Deletions. </w:t>
      </w:r>
      <w:r w:rsidR="005416AC" w:rsidRPr="005416AC">
        <w:rPr>
          <w:i/>
          <w:iCs/>
        </w:rPr>
        <w:t xml:space="preserve">J </w:t>
      </w:r>
      <w:proofErr w:type="spellStart"/>
      <w:r w:rsidR="005416AC" w:rsidRPr="005416AC">
        <w:rPr>
          <w:i/>
          <w:iCs/>
        </w:rPr>
        <w:t>Neurosci</w:t>
      </w:r>
      <w:proofErr w:type="spellEnd"/>
      <w:r w:rsidR="005416AC" w:rsidRPr="005416AC">
        <w:rPr>
          <w:i/>
          <w:iCs/>
        </w:rPr>
        <w:t xml:space="preserve"> Off J Soc </w:t>
      </w:r>
      <w:proofErr w:type="spellStart"/>
      <w:r w:rsidR="005416AC" w:rsidRPr="005416AC">
        <w:rPr>
          <w:i/>
          <w:iCs/>
        </w:rPr>
        <w:t>Neurosci</w:t>
      </w:r>
      <w:proofErr w:type="spellEnd"/>
      <w:r w:rsidR="005416AC" w:rsidRPr="005416AC">
        <w:t xml:space="preserve"> 39: 1301–1319.</w:t>
      </w:r>
    </w:p>
    <w:p w14:paraId="50AAB396" w14:textId="77777777" w:rsidR="005416AC" w:rsidRPr="005416AC" w:rsidRDefault="005416AC" w:rsidP="005416AC">
      <w:pPr>
        <w:pStyle w:val="Bibliography"/>
      </w:pPr>
      <w:r w:rsidRPr="005416AC">
        <w:t xml:space="preserve">2. Power JD, Barnes KA, Snyder AZ, </w:t>
      </w:r>
      <w:proofErr w:type="spellStart"/>
      <w:r w:rsidRPr="005416AC">
        <w:t>Schlaggar</w:t>
      </w:r>
      <w:proofErr w:type="spellEnd"/>
      <w:r w:rsidRPr="005416AC">
        <w:t xml:space="preserve"> BL, Petersen SE (2012): Spurious but systematic correlations in functional connectivity MRI networks arise from subject motion. </w:t>
      </w:r>
      <w:r w:rsidRPr="005416AC">
        <w:rPr>
          <w:i/>
          <w:iCs/>
        </w:rPr>
        <w:t>Neuroimage</w:t>
      </w:r>
      <w:r w:rsidRPr="005416AC">
        <w:t xml:space="preserve"> 59: 2142–2154.</w:t>
      </w:r>
    </w:p>
    <w:p w14:paraId="3FB852DD" w14:textId="77777777" w:rsidR="005416AC" w:rsidRPr="005416AC" w:rsidRDefault="005416AC" w:rsidP="005416AC">
      <w:pPr>
        <w:pStyle w:val="Bibliography"/>
      </w:pPr>
      <w:r w:rsidRPr="005416AC">
        <w:t xml:space="preserve">3. </w:t>
      </w:r>
      <w:proofErr w:type="spellStart"/>
      <w:r w:rsidRPr="005416AC">
        <w:t>Ghandour</w:t>
      </w:r>
      <w:proofErr w:type="spellEnd"/>
      <w:r w:rsidRPr="005416AC">
        <w:t xml:space="preserve"> RM, Sherman LJ, </w:t>
      </w:r>
      <w:proofErr w:type="spellStart"/>
      <w:r w:rsidRPr="005416AC">
        <w:t>Vladutiu</w:t>
      </w:r>
      <w:proofErr w:type="spellEnd"/>
      <w:r w:rsidRPr="005416AC">
        <w:t xml:space="preserve"> CJ, Ali MM, Lynch SE, </w:t>
      </w:r>
      <w:proofErr w:type="spellStart"/>
      <w:r w:rsidRPr="005416AC">
        <w:t>Bitsko</w:t>
      </w:r>
      <w:proofErr w:type="spellEnd"/>
      <w:r w:rsidRPr="005416AC">
        <w:t xml:space="preserve"> RH, Blumberg SJ (2019): Prevalence and Treatment of Depression, Anxiety, and Conduct Problems in US Children. </w:t>
      </w:r>
      <w:r w:rsidRPr="005416AC">
        <w:rPr>
          <w:i/>
          <w:iCs/>
        </w:rPr>
        <w:t xml:space="preserve">J </w:t>
      </w:r>
      <w:proofErr w:type="spellStart"/>
      <w:r w:rsidRPr="005416AC">
        <w:rPr>
          <w:i/>
          <w:iCs/>
        </w:rPr>
        <w:t>Pediatr</w:t>
      </w:r>
      <w:proofErr w:type="spellEnd"/>
      <w:r w:rsidRPr="005416AC">
        <w:t xml:space="preserve"> 206: 256-267.e3.</w:t>
      </w:r>
    </w:p>
    <w:p w14:paraId="1D4FCC2B" w14:textId="77777777" w:rsidR="005416AC" w:rsidRPr="005416AC" w:rsidRDefault="005416AC" w:rsidP="005416AC">
      <w:pPr>
        <w:pStyle w:val="Bibliography"/>
      </w:pPr>
      <w:r w:rsidRPr="005416AC">
        <w:t xml:space="preserve">4. </w:t>
      </w:r>
      <w:proofErr w:type="spellStart"/>
      <w:r w:rsidRPr="005416AC">
        <w:t>Sayal</w:t>
      </w:r>
      <w:proofErr w:type="spellEnd"/>
      <w:r w:rsidRPr="005416AC">
        <w:t xml:space="preserve"> K, Prasad V, Daley D, Ford T, Coghill D (2018): ADHD in children and young people: prevalence, care pathways, and service provision. </w:t>
      </w:r>
      <w:r w:rsidRPr="005416AC">
        <w:rPr>
          <w:i/>
          <w:iCs/>
        </w:rPr>
        <w:t>Lancet Psychiatry</w:t>
      </w:r>
      <w:r w:rsidRPr="005416AC">
        <w:t xml:space="preserve"> 5: 175–186.</w:t>
      </w:r>
    </w:p>
    <w:p w14:paraId="195845F8" w14:textId="77777777" w:rsidR="005416AC" w:rsidRPr="005416AC" w:rsidRDefault="005416AC" w:rsidP="005416AC">
      <w:pPr>
        <w:pStyle w:val="Bibliography"/>
      </w:pPr>
      <w:r w:rsidRPr="005416AC">
        <w:t xml:space="preserve">5. Thapar A, </w:t>
      </w:r>
      <w:proofErr w:type="spellStart"/>
      <w:r w:rsidRPr="005416AC">
        <w:t>Collishaw</w:t>
      </w:r>
      <w:proofErr w:type="spellEnd"/>
      <w:r w:rsidRPr="005416AC">
        <w:t xml:space="preserve"> S, Pine DS, Thapar AK (2012): Depression in adolescence. </w:t>
      </w:r>
      <w:r w:rsidRPr="005416AC">
        <w:rPr>
          <w:i/>
          <w:iCs/>
        </w:rPr>
        <w:t>The Lancet</w:t>
      </w:r>
      <w:r w:rsidRPr="005416AC">
        <w:t xml:space="preserve"> 379: 1056–1067.</w:t>
      </w:r>
    </w:p>
    <w:p w14:paraId="6A810558" w14:textId="77777777" w:rsidR="005416AC" w:rsidRPr="005416AC" w:rsidRDefault="005416AC" w:rsidP="005416AC">
      <w:pPr>
        <w:pStyle w:val="Bibliography"/>
      </w:pPr>
      <w:r w:rsidRPr="005416AC">
        <w:t xml:space="preserve">6. First MB, Gibbon M (2004): The Structured Clinical Interview for DSM-IV Axis I Disorders (SCID-I) and the Structured Clinical Interview for DSM-IV Axis II Disorders (SCID-II). </w:t>
      </w:r>
      <w:r w:rsidRPr="005416AC">
        <w:rPr>
          <w:i/>
          <w:iCs/>
        </w:rPr>
        <w:t>Comprehensive Handbook of Psychological Assessment, Vol. 2: Personality Assessment</w:t>
      </w:r>
      <w:r w:rsidRPr="005416AC">
        <w:t>. Hoboken, NJ, US: John Wiley &amp; Sons, Inc., pp 134–143.</w:t>
      </w:r>
    </w:p>
    <w:p w14:paraId="72B70165" w14:textId="77777777" w:rsidR="005416AC" w:rsidRPr="005416AC" w:rsidRDefault="005416AC" w:rsidP="005416AC">
      <w:pPr>
        <w:pStyle w:val="Bibliography"/>
      </w:pPr>
      <w:r w:rsidRPr="005416AC">
        <w:t xml:space="preserve">7. Miller TJ, McGlashan TH, Rosen JL, </w:t>
      </w:r>
      <w:proofErr w:type="spellStart"/>
      <w:r w:rsidRPr="005416AC">
        <w:t>Somjee</w:t>
      </w:r>
      <w:proofErr w:type="spellEnd"/>
      <w:r w:rsidRPr="005416AC">
        <w:t xml:space="preserve"> L, Markovich PJ, Stein K, Woods SW (2002): Prospective diagnosis of the initial prodrome for schizophrenia based on the Structured Interview for Prodromal Syndromes: preliminary evidence of interrater reliability and predictive validity. </w:t>
      </w:r>
      <w:r w:rsidRPr="005416AC">
        <w:rPr>
          <w:i/>
          <w:iCs/>
        </w:rPr>
        <w:t>Am J Psychiatry</w:t>
      </w:r>
      <w:r w:rsidRPr="005416AC">
        <w:t xml:space="preserve"> 159: 863–865.</w:t>
      </w:r>
    </w:p>
    <w:p w14:paraId="71BD6644" w14:textId="77777777" w:rsidR="005416AC" w:rsidRPr="005416AC" w:rsidRDefault="005416AC" w:rsidP="005416AC">
      <w:pPr>
        <w:pStyle w:val="Bibliography"/>
      </w:pPr>
      <w:r w:rsidRPr="005416AC">
        <w:t xml:space="preserve">8. </w:t>
      </w:r>
      <w:proofErr w:type="spellStart"/>
      <w:r w:rsidRPr="005416AC">
        <w:t>Jalbrzikowski</w:t>
      </w:r>
      <w:proofErr w:type="spellEnd"/>
      <w:r w:rsidRPr="005416AC">
        <w:t xml:space="preserve"> M, Carter C, </w:t>
      </w:r>
      <w:proofErr w:type="spellStart"/>
      <w:r w:rsidRPr="005416AC">
        <w:t>Senturk</w:t>
      </w:r>
      <w:proofErr w:type="spellEnd"/>
      <w:r w:rsidRPr="005416AC">
        <w:t xml:space="preserve"> D, Chow C, Hopkins JM, Green MF, </w:t>
      </w:r>
      <w:r w:rsidRPr="005416AC">
        <w:rPr>
          <w:i/>
          <w:iCs/>
        </w:rPr>
        <w:t>et al.</w:t>
      </w:r>
      <w:r w:rsidRPr="005416AC">
        <w:t xml:space="preserve"> (2012): Social Cognition in 22q11.2 Microdeletion Syndrome: Relevance to Psychosis. </w:t>
      </w:r>
      <w:proofErr w:type="spellStart"/>
      <w:r w:rsidRPr="005416AC">
        <w:rPr>
          <w:i/>
          <w:iCs/>
        </w:rPr>
        <w:t>Schizophr</w:t>
      </w:r>
      <w:proofErr w:type="spellEnd"/>
      <w:r w:rsidRPr="005416AC">
        <w:rPr>
          <w:i/>
          <w:iCs/>
        </w:rPr>
        <w:t xml:space="preserve"> Res</w:t>
      </w:r>
      <w:r w:rsidRPr="005416AC">
        <w:t xml:space="preserve"> 142: 99–107.</w:t>
      </w:r>
    </w:p>
    <w:p w14:paraId="0A09322C" w14:textId="77777777" w:rsidR="005416AC" w:rsidRPr="005416AC" w:rsidRDefault="005416AC" w:rsidP="005416AC">
      <w:pPr>
        <w:pStyle w:val="Bibliography"/>
      </w:pPr>
      <w:r w:rsidRPr="005416AC">
        <w:lastRenderedPageBreak/>
        <w:t xml:space="preserve">9. </w:t>
      </w:r>
      <w:proofErr w:type="spellStart"/>
      <w:r w:rsidRPr="005416AC">
        <w:t>Jalbrzikowski</w:t>
      </w:r>
      <w:proofErr w:type="spellEnd"/>
      <w:r w:rsidRPr="005416AC">
        <w:t xml:space="preserve"> M, Jonas R, </w:t>
      </w:r>
      <w:proofErr w:type="spellStart"/>
      <w:r w:rsidRPr="005416AC">
        <w:t>Senturk</w:t>
      </w:r>
      <w:proofErr w:type="spellEnd"/>
      <w:r w:rsidRPr="005416AC">
        <w:t xml:space="preserve"> D, Patel A, Chow C, Green MF, Bearden CE (2013): Structural abnormalities in cortical volume, thickness, and surface area in 22q11.2 microdeletion syndrome: Relationship with psychotic symptoms. </w:t>
      </w:r>
      <w:proofErr w:type="spellStart"/>
      <w:r w:rsidRPr="005416AC">
        <w:rPr>
          <w:i/>
          <w:iCs/>
        </w:rPr>
        <w:t>NeuroImage</w:t>
      </w:r>
      <w:proofErr w:type="spellEnd"/>
      <w:r w:rsidRPr="005416AC">
        <w:rPr>
          <w:i/>
          <w:iCs/>
        </w:rPr>
        <w:t xml:space="preserve"> Clin</w:t>
      </w:r>
      <w:r w:rsidRPr="005416AC">
        <w:t xml:space="preserve"> 3: 405–415.</w:t>
      </w:r>
    </w:p>
    <w:p w14:paraId="1DD67204" w14:textId="77777777" w:rsidR="005416AC" w:rsidRPr="005416AC" w:rsidRDefault="005416AC" w:rsidP="005416AC">
      <w:pPr>
        <w:pStyle w:val="Bibliography"/>
      </w:pPr>
      <w:r w:rsidRPr="005416AC">
        <w:t xml:space="preserve">10. Ji JL, </w:t>
      </w:r>
      <w:proofErr w:type="spellStart"/>
      <w:r w:rsidRPr="005416AC">
        <w:t>Demšar</w:t>
      </w:r>
      <w:proofErr w:type="spellEnd"/>
      <w:r w:rsidRPr="005416AC">
        <w:t xml:space="preserve"> J, </w:t>
      </w:r>
      <w:proofErr w:type="spellStart"/>
      <w:r w:rsidRPr="005416AC">
        <w:t>Fonteneau</w:t>
      </w:r>
      <w:proofErr w:type="spellEnd"/>
      <w:r w:rsidRPr="005416AC">
        <w:t xml:space="preserve"> C, Tamayo Z, Pan L, </w:t>
      </w:r>
      <w:proofErr w:type="spellStart"/>
      <w:r w:rsidRPr="005416AC">
        <w:t>Kraljič</w:t>
      </w:r>
      <w:proofErr w:type="spellEnd"/>
      <w:r w:rsidRPr="005416AC">
        <w:t xml:space="preserve"> A, </w:t>
      </w:r>
      <w:r w:rsidRPr="005416AC">
        <w:rPr>
          <w:i/>
          <w:iCs/>
        </w:rPr>
        <w:t>et al.</w:t>
      </w:r>
      <w:r w:rsidRPr="005416AC">
        <w:t xml:space="preserve"> (2022, October 2): </w:t>
      </w:r>
      <w:proofErr w:type="spellStart"/>
      <w:r w:rsidRPr="005416AC">
        <w:t>QuNex</w:t>
      </w:r>
      <w:proofErr w:type="spellEnd"/>
      <w:r w:rsidRPr="005416AC">
        <w:t xml:space="preserve"> – An Integrative Platform for Reproducible Neuroimaging Analytics. </w:t>
      </w:r>
      <w:proofErr w:type="spellStart"/>
      <w:r w:rsidRPr="005416AC">
        <w:t>bioRxiv</w:t>
      </w:r>
      <w:proofErr w:type="spellEnd"/>
      <w:r w:rsidRPr="005416AC">
        <w:t>, p 2022.06.03.494750.</w:t>
      </w:r>
    </w:p>
    <w:p w14:paraId="46E0C77D" w14:textId="77777777" w:rsidR="005416AC" w:rsidRPr="005416AC" w:rsidRDefault="005416AC" w:rsidP="005416AC">
      <w:pPr>
        <w:pStyle w:val="Bibliography"/>
      </w:pPr>
      <w:r w:rsidRPr="005416AC">
        <w:t xml:space="preserve">11. Glasser MF, Sotiropoulos SN, Wilson JA, Coalson TS, </w:t>
      </w:r>
      <w:proofErr w:type="spellStart"/>
      <w:r w:rsidRPr="005416AC">
        <w:t>Fischl</w:t>
      </w:r>
      <w:proofErr w:type="spellEnd"/>
      <w:r w:rsidRPr="005416AC">
        <w:t xml:space="preserve"> B, Andersson JL, </w:t>
      </w:r>
      <w:r w:rsidRPr="005416AC">
        <w:rPr>
          <w:i/>
          <w:iCs/>
        </w:rPr>
        <w:t>et al.</w:t>
      </w:r>
      <w:r w:rsidRPr="005416AC">
        <w:t xml:space="preserve"> (2013): The Minimal Preprocessing Pipelines for the Human Connectome Project. </w:t>
      </w:r>
      <w:proofErr w:type="spellStart"/>
      <w:r w:rsidRPr="005416AC">
        <w:rPr>
          <w:i/>
          <w:iCs/>
        </w:rPr>
        <w:t>NeuroImage</w:t>
      </w:r>
      <w:proofErr w:type="spellEnd"/>
      <w:r w:rsidRPr="005416AC">
        <w:t xml:space="preserve"> 80: 105–124.</w:t>
      </w:r>
    </w:p>
    <w:p w14:paraId="3851DD8D" w14:textId="77777777" w:rsidR="005416AC" w:rsidRPr="005416AC" w:rsidRDefault="005416AC" w:rsidP="005416AC">
      <w:pPr>
        <w:pStyle w:val="Bibliography"/>
      </w:pPr>
      <w:r w:rsidRPr="005416AC">
        <w:t xml:space="preserve">12. Power JD, Plitt M, </w:t>
      </w:r>
      <w:proofErr w:type="spellStart"/>
      <w:r w:rsidRPr="005416AC">
        <w:t>Laumann</w:t>
      </w:r>
      <w:proofErr w:type="spellEnd"/>
      <w:r w:rsidRPr="005416AC">
        <w:t xml:space="preserve"> TO, Martin A (2017): Sources and implications of whole-brain fMRI signals in humans. </w:t>
      </w:r>
      <w:proofErr w:type="spellStart"/>
      <w:r w:rsidRPr="005416AC">
        <w:rPr>
          <w:i/>
          <w:iCs/>
        </w:rPr>
        <w:t>NeuroImage</w:t>
      </w:r>
      <w:proofErr w:type="spellEnd"/>
      <w:r w:rsidRPr="005416AC">
        <w:t xml:space="preserve"> 146: 609–625.</w:t>
      </w:r>
    </w:p>
    <w:p w14:paraId="37AD4D94" w14:textId="77777777" w:rsidR="005416AC" w:rsidRPr="005416AC" w:rsidRDefault="005416AC" w:rsidP="005416AC">
      <w:pPr>
        <w:pStyle w:val="Bibliography"/>
      </w:pPr>
      <w:r w:rsidRPr="005416AC">
        <w:t xml:space="preserve">13. Pham DD, </w:t>
      </w:r>
      <w:proofErr w:type="spellStart"/>
      <w:r w:rsidRPr="005416AC">
        <w:t>Muschelli</w:t>
      </w:r>
      <w:proofErr w:type="spellEnd"/>
      <w:r w:rsidRPr="005416AC">
        <w:t xml:space="preserve"> J, Mejia AF (2022): </w:t>
      </w:r>
      <w:proofErr w:type="spellStart"/>
      <w:r w:rsidRPr="005416AC">
        <w:t>ciftiTools</w:t>
      </w:r>
      <w:proofErr w:type="spellEnd"/>
      <w:r w:rsidRPr="005416AC">
        <w:t xml:space="preserve">: A package for reading, writing, visualizing, and manipulating CIFTI files in R. </w:t>
      </w:r>
      <w:proofErr w:type="spellStart"/>
      <w:r w:rsidRPr="005416AC">
        <w:rPr>
          <w:i/>
          <w:iCs/>
        </w:rPr>
        <w:t>NeuroImage</w:t>
      </w:r>
      <w:proofErr w:type="spellEnd"/>
      <w:r w:rsidRPr="005416AC">
        <w:t xml:space="preserve"> 250: 118877.</w:t>
      </w:r>
    </w:p>
    <w:p w14:paraId="0E85FB10" w14:textId="77777777" w:rsidR="005416AC" w:rsidRPr="005416AC" w:rsidRDefault="005416AC" w:rsidP="005416AC">
      <w:pPr>
        <w:pStyle w:val="Bibliography"/>
      </w:pPr>
      <w:r w:rsidRPr="005416AC">
        <w:t xml:space="preserve">14. Ji JL, </w:t>
      </w:r>
      <w:proofErr w:type="spellStart"/>
      <w:r w:rsidRPr="005416AC">
        <w:t>Spronk</w:t>
      </w:r>
      <w:proofErr w:type="spellEnd"/>
      <w:r w:rsidRPr="005416AC">
        <w:t xml:space="preserve"> M, Kulkarni K, </w:t>
      </w:r>
      <w:proofErr w:type="spellStart"/>
      <w:r w:rsidRPr="005416AC">
        <w:t>Repovš</w:t>
      </w:r>
      <w:proofErr w:type="spellEnd"/>
      <w:r w:rsidRPr="005416AC">
        <w:t xml:space="preserve"> G, </w:t>
      </w:r>
      <w:proofErr w:type="spellStart"/>
      <w:r w:rsidRPr="005416AC">
        <w:t>Anticevic</w:t>
      </w:r>
      <w:proofErr w:type="spellEnd"/>
      <w:r w:rsidRPr="005416AC">
        <w:t xml:space="preserve"> A, Cole MW (2019): Mapping the human brain’s cortical-subcortical functional network organization. </w:t>
      </w:r>
      <w:proofErr w:type="spellStart"/>
      <w:r w:rsidRPr="005416AC">
        <w:rPr>
          <w:i/>
          <w:iCs/>
        </w:rPr>
        <w:t>NeuroImage</w:t>
      </w:r>
      <w:proofErr w:type="spellEnd"/>
      <w:r w:rsidRPr="005416AC">
        <w:t xml:space="preserve"> 185: 35–57.</w:t>
      </w:r>
    </w:p>
    <w:p w14:paraId="44FD558D" w14:textId="77777777" w:rsidR="005416AC" w:rsidRPr="005416AC" w:rsidRDefault="005416AC" w:rsidP="005416AC">
      <w:pPr>
        <w:pStyle w:val="Bibliography"/>
      </w:pPr>
      <w:r w:rsidRPr="005416AC">
        <w:t xml:space="preserve">15. Glasser MF, Coalson TS, Robinson EC, Hacker CD, Harwell J, Yacoub E, </w:t>
      </w:r>
      <w:r w:rsidRPr="005416AC">
        <w:rPr>
          <w:i/>
          <w:iCs/>
        </w:rPr>
        <w:t>et al.</w:t>
      </w:r>
      <w:r w:rsidRPr="005416AC">
        <w:t xml:space="preserve"> (2016): A multi-modal parcellation of human cerebral cortex. </w:t>
      </w:r>
      <w:r w:rsidRPr="005416AC">
        <w:rPr>
          <w:i/>
          <w:iCs/>
        </w:rPr>
        <w:t>Nature</w:t>
      </w:r>
      <w:r w:rsidRPr="005416AC">
        <w:t xml:space="preserve"> 536: 171–178.</w:t>
      </w:r>
    </w:p>
    <w:p w14:paraId="45C7D9AA" w14:textId="77777777" w:rsidR="005416AC" w:rsidRPr="005416AC" w:rsidRDefault="005416AC" w:rsidP="005416AC">
      <w:pPr>
        <w:pStyle w:val="Bibliography"/>
      </w:pPr>
      <w:r w:rsidRPr="005416AC">
        <w:t xml:space="preserve">16. Beer JC, </w:t>
      </w:r>
      <w:proofErr w:type="spellStart"/>
      <w:r w:rsidRPr="005416AC">
        <w:t>Tustison</w:t>
      </w:r>
      <w:proofErr w:type="spellEnd"/>
      <w:r w:rsidRPr="005416AC">
        <w:t xml:space="preserve"> NJ, Cook PA, </w:t>
      </w:r>
      <w:proofErr w:type="spellStart"/>
      <w:r w:rsidRPr="005416AC">
        <w:t>Davatzikos</w:t>
      </w:r>
      <w:proofErr w:type="spellEnd"/>
      <w:r w:rsidRPr="005416AC">
        <w:t xml:space="preserve"> C, </w:t>
      </w:r>
      <w:proofErr w:type="spellStart"/>
      <w:r w:rsidRPr="005416AC">
        <w:t>Sheline</w:t>
      </w:r>
      <w:proofErr w:type="spellEnd"/>
      <w:r w:rsidRPr="005416AC">
        <w:t xml:space="preserve"> YI, Shinohara RT, Linn KA (2020): Longitudinal </w:t>
      </w:r>
      <w:proofErr w:type="spellStart"/>
      <w:r w:rsidRPr="005416AC">
        <w:t>ComBat</w:t>
      </w:r>
      <w:proofErr w:type="spellEnd"/>
      <w:r w:rsidRPr="005416AC">
        <w:t xml:space="preserve">: A method for harmonizing longitudinal multi-scanner imaging data. </w:t>
      </w:r>
      <w:proofErr w:type="spellStart"/>
      <w:r w:rsidRPr="005416AC">
        <w:rPr>
          <w:i/>
          <w:iCs/>
        </w:rPr>
        <w:t>NeuroImage</w:t>
      </w:r>
      <w:proofErr w:type="spellEnd"/>
      <w:r w:rsidRPr="005416AC">
        <w:t xml:space="preserve"> 220: 117129.</w:t>
      </w:r>
    </w:p>
    <w:p w14:paraId="1EF627A0" w14:textId="77777777" w:rsidR="005416AC" w:rsidRPr="005416AC" w:rsidRDefault="005416AC" w:rsidP="005416AC">
      <w:pPr>
        <w:pStyle w:val="Bibliography"/>
      </w:pPr>
      <w:r w:rsidRPr="005416AC">
        <w:t xml:space="preserve">17. Johnson WE, Li C, </w:t>
      </w:r>
      <w:proofErr w:type="spellStart"/>
      <w:r w:rsidRPr="005416AC">
        <w:t>Rabinovic</w:t>
      </w:r>
      <w:proofErr w:type="spellEnd"/>
      <w:r w:rsidRPr="005416AC">
        <w:t xml:space="preserve"> A (2007): Adjusting batch effects in microarray expression data using empirical Bayes methods. </w:t>
      </w:r>
      <w:r w:rsidRPr="005416AC">
        <w:rPr>
          <w:i/>
          <w:iCs/>
        </w:rPr>
        <w:t>Biostatistics</w:t>
      </w:r>
      <w:r w:rsidRPr="005416AC">
        <w:t xml:space="preserve"> 8: 118–127.</w:t>
      </w:r>
    </w:p>
    <w:p w14:paraId="645AE8EF" w14:textId="77777777" w:rsidR="005416AC" w:rsidRPr="005416AC" w:rsidRDefault="005416AC" w:rsidP="005416AC">
      <w:pPr>
        <w:pStyle w:val="Bibliography"/>
      </w:pPr>
      <w:r w:rsidRPr="005416AC">
        <w:t xml:space="preserve">18. Fortin J-P, Cullen N, </w:t>
      </w:r>
      <w:proofErr w:type="spellStart"/>
      <w:r w:rsidRPr="005416AC">
        <w:t>Sheline</w:t>
      </w:r>
      <w:proofErr w:type="spellEnd"/>
      <w:r w:rsidRPr="005416AC">
        <w:t xml:space="preserve"> YI, Taylor WD, </w:t>
      </w:r>
      <w:proofErr w:type="spellStart"/>
      <w:r w:rsidRPr="005416AC">
        <w:t>Aselcioglu</w:t>
      </w:r>
      <w:proofErr w:type="spellEnd"/>
      <w:r w:rsidRPr="005416AC">
        <w:t xml:space="preserve"> I, Cook PA, </w:t>
      </w:r>
      <w:r w:rsidRPr="005416AC">
        <w:rPr>
          <w:i/>
          <w:iCs/>
        </w:rPr>
        <w:t>et al.</w:t>
      </w:r>
      <w:r w:rsidRPr="005416AC">
        <w:t xml:space="preserve"> (2018): Harmonization of cortical thickness measurements across scanners and sites. </w:t>
      </w:r>
      <w:proofErr w:type="spellStart"/>
      <w:r w:rsidRPr="005416AC">
        <w:rPr>
          <w:i/>
          <w:iCs/>
        </w:rPr>
        <w:t>NeuroImage</w:t>
      </w:r>
      <w:proofErr w:type="spellEnd"/>
      <w:r w:rsidRPr="005416AC">
        <w:t xml:space="preserve"> 167: 104–120.</w:t>
      </w:r>
    </w:p>
    <w:p w14:paraId="0EA7016D" w14:textId="77777777" w:rsidR="005416AC" w:rsidRPr="005416AC" w:rsidRDefault="005416AC" w:rsidP="005416AC">
      <w:pPr>
        <w:pStyle w:val="Bibliography"/>
      </w:pPr>
      <w:r w:rsidRPr="005416AC">
        <w:lastRenderedPageBreak/>
        <w:t xml:space="preserve">19. </w:t>
      </w:r>
      <w:proofErr w:type="spellStart"/>
      <w:r w:rsidRPr="005416AC">
        <w:t>Jalbrzikowski</w:t>
      </w:r>
      <w:proofErr w:type="spellEnd"/>
      <w:r w:rsidRPr="005416AC">
        <w:t xml:space="preserve"> M, Lin A, </w:t>
      </w:r>
      <w:proofErr w:type="spellStart"/>
      <w:r w:rsidRPr="005416AC">
        <w:t>Vajdi</w:t>
      </w:r>
      <w:proofErr w:type="spellEnd"/>
      <w:r w:rsidRPr="005416AC">
        <w:t xml:space="preserve"> A, </w:t>
      </w:r>
      <w:proofErr w:type="spellStart"/>
      <w:r w:rsidRPr="005416AC">
        <w:t>Grigoryan</w:t>
      </w:r>
      <w:proofErr w:type="spellEnd"/>
      <w:r w:rsidRPr="005416AC">
        <w:t xml:space="preserve"> V, Kushan L, Ching CRK, </w:t>
      </w:r>
      <w:r w:rsidRPr="005416AC">
        <w:rPr>
          <w:i/>
          <w:iCs/>
        </w:rPr>
        <w:t>et al.</w:t>
      </w:r>
      <w:r w:rsidRPr="005416AC">
        <w:t xml:space="preserve"> (2022): Longitudinal trajectories of cortical development in 22q11.2 copy number variants and typically developing controls. </w:t>
      </w:r>
      <w:r w:rsidRPr="005416AC">
        <w:rPr>
          <w:i/>
          <w:iCs/>
        </w:rPr>
        <w:t>Mol Psychiatry</w:t>
      </w:r>
      <w:r w:rsidRPr="005416AC">
        <w:t xml:space="preserve"> 27: 4181–4190.</w:t>
      </w:r>
    </w:p>
    <w:p w14:paraId="37EE7BF4" w14:textId="77777777" w:rsidR="005416AC" w:rsidRPr="005416AC" w:rsidRDefault="005416AC" w:rsidP="005416AC">
      <w:pPr>
        <w:pStyle w:val="Bibliography"/>
      </w:pPr>
      <w:r w:rsidRPr="005416AC">
        <w:t xml:space="preserve">20. Hastie TJ (1992): Generalized Additive Models. </w:t>
      </w:r>
      <w:r w:rsidRPr="005416AC">
        <w:rPr>
          <w:i/>
          <w:iCs/>
        </w:rPr>
        <w:t>Statistical Models in S</w:t>
      </w:r>
      <w:r w:rsidRPr="005416AC">
        <w:t>. Routledge.</w:t>
      </w:r>
    </w:p>
    <w:p w14:paraId="531612CF" w14:textId="77777777" w:rsidR="005416AC" w:rsidRPr="005416AC" w:rsidRDefault="005416AC" w:rsidP="005416AC">
      <w:pPr>
        <w:pStyle w:val="Bibliography"/>
      </w:pPr>
      <w:r w:rsidRPr="005416AC">
        <w:t xml:space="preserve">21. Wood SN (2004): Stable and Efficient Multiple Smoothing Parameter Estimation for Generalized Additive Models. </w:t>
      </w:r>
      <w:r w:rsidRPr="005416AC">
        <w:rPr>
          <w:i/>
          <w:iCs/>
        </w:rPr>
        <w:t>J Am Stat Assoc</w:t>
      </w:r>
      <w:r w:rsidRPr="005416AC">
        <w:t xml:space="preserve"> 99: 673–686.</w:t>
      </w:r>
    </w:p>
    <w:p w14:paraId="10DC80DE" w14:textId="77777777" w:rsidR="005416AC" w:rsidRPr="005416AC" w:rsidRDefault="005416AC" w:rsidP="005416AC">
      <w:pPr>
        <w:pStyle w:val="Bibliography"/>
      </w:pPr>
      <w:r w:rsidRPr="005416AC">
        <w:t xml:space="preserve">22. Wood SN (2011): Fast stable restricted maximum likelihood and marginal likelihood estimation of semiparametric generalized linear models. </w:t>
      </w:r>
      <w:r w:rsidRPr="005416AC">
        <w:rPr>
          <w:i/>
          <w:iCs/>
        </w:rPr>
        <w:t xml:space="preserve">J R Stat Soc Ser B Stat </w:t>
      </w:r>
      <w:proofErr w:type="spellStart"/>
      <w:r w:rsidRPr="005416AC">
        <w:rPr>
          <w:i/>
          <w:iCs/>
        </w:rPr>
        <w:t>Methodol</w:t>
      </w:r>
      <w:proofErr w:type="spellEnd"/>
      <w:r w:rsidRPr="005416AC">
        <w:t xml:space="preserve"> 73: 3–36.</w:t>
      </w:r>
    </w:p>
    <w:p w14:paraId="76488D2D" w14:textId="77777777" w:rsidR="005416AC" w:rsidRPr="005416AC" w:rsidRDefault="005416AC" w:rsidP="005416AC">
      <w:pPr>
        <w:pStyle w:val="Bibliography"/>
      </w:pPr>
      <w:r w:rsidRPr="005416AC">
        <w:t xml:space="preserve">23. </w:t>
      </w:r>
      <w:proofErr w:type="spellStart"/>
      <w:r w:rsidRPr="005416AC">
        <w:t>Benjamini</w:t>
      </w:r>
      <w:proofErr w:type="spellEnd"/>
      <w:r w:rsidRPr="005416AC">
        <w:t xml:space="preserve"> Y, Hochberg Y (1995): Controlling the False Discovery Rate: A Practical and Powerful Approach to Multiple Testing. </w:t>
      </w:r>
      <w:r w:rsidRPr="005416AC">
        <w:rPr>
          <w:i/>
          <w:iCs/>
        </w:rPr>
        <w:t xml:space="preserve">J R Stat Soc Ser B </w:t>
      </w:r>
      <w:proofErr w:type="spellStart"/>
      <w:r w:rsidRPr="005416AC">
        <w:rPr>
          <w:i/>
          <w:iCs/>
        </w:rPr>
        <w:t>Methodol</w:t>
      </w:r>
      <w:proofErr w:type="spellEnd"/>
      <w:r w:rsidRPr="005416AC">
        <w:t xml:space="preserve"> 57: 289–300.</w:t>
      </w:r>
    </w:p>
    <w:p w14:paraId="585CF0F5" w14:textId="77777777" w:rsidR="005416AC" w:rsidRPr="005416AC" w:rsidRDefault="005416AC" w:rsidP="005416AC">
      <w:pPr>
        <w:pStyle w:val="Bibliography"/>
      </w:pPr>
      <w:r w:rsidRPr="005416AC">
        <w:t xml:space="preserve">24. Power JD, </w:t>
      </w:r>
      <w:proofErr w:type="spellStart"/>
      <w:r w:rsidRPr="005416AC">
        <w:t>Schlaggar</w:t>
      </w:r>
      <w:proofErr w:type="spellEnd"/>
      <w:r w:rsidRPr="005416AC">
        <w:t xml:space="preserve"> BL, Petersen SE (2015): Recent progress and outstanding issues in motion correction in resting state fMRI. </w:t>
      </w:r>
      <w:proofErr w:type="spellStart"/>
      <w:r w:rsidRPr="005416AC">
        <w:rPr>
          <w:i/>
          <w:iCs/>
        </w:rPr>
        <w:t>NeuroImage</w:t>
      </w:r>
      <w:proofErr w:type="spellEnd"/>
      <w:r w:rsidRPr="005416AC">
        <w:t xml:space="preserve"> 0: 536–551.</w:t>
      </w:r>
    </w:p>
    <w:p w14:paraId="4FDC7905" w14:textId="64977D12" w:rsidR="003F27C9" w:rsidRPr="00527ECF" w:rsidRDefault="00000000">
      <w:pPr>
        <w:widowControl w:val="0"/>
        <w:pBdr>
          <w:top w:val="nil"/>
          <w:left w:val="nil"/>
          <w:bottom w:val="nil"/>
          <w:right w:val="nil"/>
          <w:between w:val="nil"/>
        </w:pBdr>
        <w:spacing w:line="480" w:lineRule="auto"/>
        <w:ind w:left="720" w:hanging="720"/>
      </w:pPr>
      <w:r w:rsidRPr="00527ECF">
        <w:fldChar w:fldCharType="end"/>
      </w:r>
    </w:p>
    <w:p w14:paraId="0E17C6E2" w14:textId="40251EA0" w:rsidR="003F27C9" w:rsidRPr="00527ECF" w:rsidRDefault="003F27C9" w:rsidP="00DA71F2">
      <w:pPr>
        <w:spacing w:line="480" w:lineRule="auto"/>
        <w:jc w:val="both"/>
      </w:pPr>
    </w:p>
    <w:sectPr w:rsidR="003F27C9" w:rsidRPr="00527ECF">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A4979" w14:textId="77777777" w:rsidR="00A64D10" w:rsidRDefault="00A64D10">
      <w:pPr>
        <w:spacing w:line="240" w:lineRule="auto"/>
      </w:pPr>
      <w:r>
        <w:separator/>
      </w:r>
    </w:p>
  </w:endnote>
  <w:endnote w:type="continuationSeparator" w:id="0">
    <w:p w14:paraId="5F18A589" w14:textId="77777777" w:rsidR="00A64D10" w:rsidRDefault="00A64D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27D9" w14:textId="77777777" w:rsidR="00A64D10" w:rsidRDefault="00A64D10">
      <w:pPr>
        <w:spacing w:line="240" w:lineRule="auto"/>
      </w:pPr>
      <w:r>
        <w:separator/>
      </w:r>
    </w:p>
  </w:footnote>
  <w:footnote w:type="continuationSeparator" w:id="0">
    <w:p w14:paraId="68F49D5B" w14:textId="77777777" w:rsidR="00A64D10" w:rsidRDefault="00A64D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88A8" w14:textId="77777777" w:rsidR="003F27C9" w:rsidRDefault="00000000">
    <w:pPr>
      <w:jc w:val="right"/>
      <w:rPr>
        <w:color w:val="B7B7B7"/>
      </w:rPr>
    </w:pPr>
    <w:r>
      <w:rPr>
        <w:color w:val="B7B7B7"/>
      </w:rPr>
      <w:fldChar w:fldCharType="begin"/>
    </w:r>
    <w:r>
      <w:rPr>
        <w:color w:val="B7B7B7"/>
      </w:rPr>
      <w:instrText>PAGE</w:instrText>
    </w:r>
    <w:r>
      <w:rPr>
        <w:color w:val="B7B7B7"/>
      </w:rPr>
      <w:fldChar w:fldCharType="separate"/>
    </w:r>
    <w:r w:rsidR="00C5200E">
      <w:rPr>
        <w:noProof/>
        <w:color w:val="B7B7B7"/>
      </w:rPr>
      <w:t>1</w:t>
    </w:r>
    <w:r>
      <w:rPr>
        <w:color w:val="B7B7B7"/>
      </w:rPr>
      <w:fldChar w:fldCharType="end"/>
    </w:r>
  </w:p>
  <w:p w14:paraId="47AB6AAD" w14:textId="77777777" w:rsidR="003F27C9" w:rsidRDefault="003F27C9">
    <w:pPr>
      <w:spacing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C36B79"/>
    <w:multiLevelType w:val="multilevel"/>
    <w:tmpl w:val="B3D4778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7532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7C9"/>
    <w:rsid w:val="001D3ADE"/>
    <w:rsid w:val="00273C6B"/>
    <w:rsid w:val="00332D3C"/>
    <w:rsid w:val="003C3DAD"/>
    <w:rsid w:val="003F1515"/>
    <w:rsid w:val="003F27C9"/>
    <w:rsid w:val="00527ECF"/>
    <w:rsid w:val="005309E1"/>
    <w:rsid w:val="005416AC"/>
    <w:rsid w:val="005B25EA"/>
    <w:rsid w:val="006459AF"/>
    <w:rsid w:val="006F1062"/>
    <w:rsid w:val="00844E28"/>
    <w:rsid w:val="00870D3C"/>
    <w:rsid w:val="008939E4"/>
    <w:rsid w:val="008A2542"/>
    <w:rsid w:val="008D547D"/>
    <w:rsid w:val="008E56CA"/>
    <w:rsid w:val="00907BF1"/>
    <w:rsid w:val="009D3BEE"/>
    <w:rsid w:val="009F66AD"/>
    <w:rsid w:val="00A14059"/>
    <w:rsid w:val="00A64D10"/>
    <w:rsid w:val="00B118FE"/>
    <w:rsid w:val="00B20058"/>
    <w:rsid w:val="00B57317"/>
    <w:rsid w:val="00BB19A6"/>
    <w:rsid w:val="00BC57BB"/>
    <w:rsid w:val="00C5200E"/>
    <w:rsid w:val="00D01DB2"/>
    <w:rsid w:val="00DA71F2"/>
    <w:rsid w:val="00EF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6F17"/>
  <w15:docId w15:val="{BA7D19B6-B2FA-C543-98BA-E0E71E2B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C5200E"/>
    <w:pPr>
      <w:spacing w:line="480" w:lineRule="auto"/>
      <w:ind w:left="720" w:hanging="720"/>
    </w:pPr>
  </w:style>
  <w:style w:type="paragraph" w:styleId="Header">
    <w:name w:val="header"/>
    <w:basedOn w:val="Normal"/>
    <w:link w:val="HeaderChar"/>
    <w:uiPriority w:val="99"/>
    <w:unhideWhenUsed/>
    <w:rsid w:val="00332D3C"/>
    <w:pPr>
      <w:tabs>
        <w:tab w:val="center" w:pos="4680"/>
        <w:tab w:val="right" w:pos="9360"/>
      </w:tabs>
      <w:spacing w:line="240" w:lineRule="auto"/>
    </w:pPr>
  </w:style>
  <w:style w:type="character" w:customStyle="1" w:styleId="HeaderChar">
    <w:name w:val="Header Char"/>
    <w:basedOn w:val="DefaultParagraphFont"/>
    <w:link w:val="Header"/>
    <w:uiPriority w:val="99"/>
    <w:rsid w:val="00332D3C"/>
  </w:style>
  <w:style w:type="paragraph" w:styleId="Footer">
    <w:name w:val="footer"/>
    <w:basedOn w:val="Normal"/>
    <w:link w:val="FooterChar"/>
    <w:uiPriority w:val="99"/>
    <w:unhideWhenUsed/>
    <w:rsid w:val="00332D3C"/>
    <w:pPr>
      <w:tabs>
        <w:tab w:val="center" w:pos="4680"/>
        <w:tab w:val="right" w:pos="9360"/>
      </w:tabs>
      <w:spacing w:line="240" w:lineRule="auto"/>
    </w:pPr>
  </w:style>
  <w:style w:type="character" w:customStyle="1" w:styleId="FooterChar">
    <w:name w:val="Footer Char"/>
    <w:basedOn w:val="DefaultParagraphFont"/>
    <w:link w:val="Footer"/>
    <w:uiPriority w:val="99"/>
    <w:rsid w:val="00332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12841</Words>
  <Characters>73194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Schleifer</cp:lastModifiedBy>
  <cp:revision>4</cp:revision>
  <dcterms:created xsi:type="dcterms:W3CDTF">2023-06-18T17:08:00Z</dcterms:created>
  <dcterms:modified xsi:type="dcterms:W3CDTF">2023-06-18T17:11:00Z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{"style":{"styleID":"http://www.zotero.org/styles/biological-psychiatry","hasBibliography":true,"bibliographyStyleHasBeenSet":true},"prefs":{"fieldType":"Field","automaticJournalAbbreviations":true,"delayCitationUpdates":false,"noteType":0},"sessionID":"Y</vt:lpwstr>
  </property>
  <property fmtid="{D5CDD505-2E9C-101B-9397-08002B2CF9AE}" pid="3" name="ZOTERO_PREF_2">
    <vt:lpwstr>kl1DuhJ","zoteroVersion":"6.0.26","dataVersion":4}</vt:lpwstr>
  </property>
</Properties>
</file>