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9EDCF"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Business Concept</w:t>
      </w:r>
      <w:r w:rsidRPr="000D44EF">
        <w:rPr>
          <w:rFonts w:ascii="Calibri" w:eastAsia="Times New Roman" w:hAnsi="Calibri" w:cs="Calibri"/>
          <w:color w:val="242424"/>
          <w:kern w:val="0"/>
          <w:sz w:val="20"/>
          <w:szCs w:val="20"/>
          <w:bdr w:val="none" w:sz="0" w:space="0" w:color="auto" w:frame="1"/>
          <w14:ligatures w14:val="none"/>
        </w:rPr>
        <w:t>: AI-assisted ERP (i.e., FSM) implementation and migration services company that specializes in helping field service contractors (HVAC, plumbing, electrical, pest control, landscaping, garage door, fire protection, pool service and related specialty trades) move from QuickBooks (and other legacy software and/or adjacent point solutions) onto modern FSM platforms (preliminary focuses would be next-gen leaders like ServiceTitan, Jobber, BuildOps, FieldEdge, Housecall Pro, and ServiceTrade)</w:t>
      </w:r>
    </w:p>
    <w:p w14:paraId="5AE4F09E" w14:textId="77777777" w:rsidR="000D44EF" w:rsidRPr="000D44EF" w:rsidRDefault="000D44EF" w:rsidP="000D44EF">
      <w:pPr>
        <w:numPr>
          <w:ilvl w:val="0"/>
          <w:numId w:val="1"/>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i/>
          <w:iCs/>
          <w:color w:val="242424"/>
          <w:kern w:val="0"/>
          <w:sz w:val="20"/>
          <w:szCs w:val="20"/>
          <w:bdr w:val="none" w:sz="0" w:space="0" w:color="auto" w:frame="1"/>
          <w14:ligatures w14:val="none"/>
        </w:rPr>
        <w:t>Phase I</w:t>
      </w:r>
      <w:r w:rsidRPr="000D44EF">
        <w:rPr>
          <w:rFonts w:ascii="Calibri" w:eastAsia="Times New Roman" w:hAnsi="Calibri" w:cs="Calibri"/>
          <w:color w:val="242424"/>
          <w:kern w:val="0"/>
          <w:sz w:val="20"/>
          <w:szCs w:val="20"/>
          <w:bdr w:val="none" w:sz="0" w:space="0" w:color="auto" w:frame="1"/>
          <w14:ligatures w14:val="none"/>
        </w:rPr>
        <w:t>: Initial focus would be in “MEP” (Mechanical (i.e., HVAC), Electrical, Plumbing) for QuickBooks migrations to ServiceTitan</w:t>
      </w:r>
    </w:p>
    <w:p w14:paraId="1BEFD61C" w14:textId="77777777" w:rsidR="000D44EF" w:rsidRPr="000D44EF" w:rsidRDefault="000D44EF" w:rsidP="000D44EF">
      <w:pPr>
        <w:numPr>
          <w:ilvl w:val="0"/>
          <w:numId w:val="1"/>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i/>
          <w:iCs/>
          <w:color w:val="242424"/>
          <w:kern w:val="0"/>
          <w:sz w:val="20"/>
          <w:szCs w:val="20"/>
          <w:bdr w:val="none" w:sz="0" w:space="0" w:color="auto" w:frame="1"/>
          <w14:ligatures w14:val="none"/>
        </w:rPr>
        <w:t>Side Note</w:t>
      </w:r>
      <w:r w:rsidRPr="000D44EF">
        <w:rPr>
          <w:rFonts w:ascii="Calibri" w:eastAsia="Times New Roman" w:hAnsi="Calibri" w:cs="Calibri"/>
          <w:color w:val="242424"/>
          <w:kern w:val="0"/>
          <w:sz w:val="20"/>
          <w:szCs w:val="20"/>
          <w:bdr w:val="none" w:sz="0" w:space="0" w:color="auto" w:frame="1"/>
          <w14:ligatures w14:val="none"/>
        </w:rPr>
        <w:t>: there are also a slew of 30+ year old on-prem FSMs that people are switching off (e.g., Davisware, WennSoft, Data-Basics)</w:t>
      </w:r>
    </w:p>
    <w:p w14:paraId="5AF5BB8C"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2028DFB9"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Value Prop</w:t>
      </w:r>
      <w:r w:rsidRPr="000D44EF">
        <w:rPr>
          <w:rFonts w:ascii="Calibri" w:eastAsia="Times New Roman" w:hAnsi="Calibri" w:cs="Calibri"/>
          <w:color w:val="242424"/>
          <w:kern w:val="0"/>
          <w:sz w:val="20"/>
          <w:szCs w:val="20"/>
          <w:u w:val="single"/>
          <w:bdr w:val="none" w:sz="0" w:space="0" w:color="auto" w:frame="1"/>
          <w14:ligatures w14:val="none"/>
        </w:rPr>
        <w:t>:</w:t>
      </w:r>
    </w:p>
    <w:p w14:paraId="5B1B8B54" w14:textId="77777777" w:rsidR="000D44EF" w:rsidRPr="000D44EF" w:rsidRDefault="000D44EF" w:rsidP="000D44EF">
      <w:pPr>
        <w:numPr>
          <w:ilvl w:val="0"/>
          <w:numId w:val="2"/>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ServiceTitan implementations are a mess today – pricebook setup alone takes weeks, technician adoption fails often without change management; our business would automate the mechanical parts of the transition and white-glove the human parts, taking a $60k-$120k 6-month implementation ordeal down to $15k-$45k 10-week engagement</w:t>
      </w:r>
    </w:p>
    <w:p w14:paraId="4ABD0E86"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51E311EE"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Market Backdrop</w:t>
      </w:r>
    </w:p>
    <w:p w14:paraId="0F33BCD8" w14:textId="77777777" w:rsidR="000D44EF" w:rsidRPr="000D44EF" w:rsidRDefault="000D44EF" w:rsidP="000D44EF">
      <w:pPr>
        <w:numPr>
          <w:ilvl w:val="0"/>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TAM</w:t>
      </w:r>
    </w:p>
    <w:p w14:paraId="4EE054BA"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HVAC, Electrical, Plumbing are extremely interconnected and is a huge market; all I have is $ figures on TAM (easily findable using Claude / BLS data for # of organizations) but MEP SAM alone is ~$1.6bn alone with ~35% mixed orgs (i.e., do all three services) and ~65% providing one of the three services</w:t>
      </w:r>
    </w:p>
    <w:p w14:paraId="0F1F4E7F" w14:textId="77777777" w:rsidR="000D44EF" w:rsidRPr="000D44EF" w:rsidRDefault="000D44EF" w:rsidP="000D44EF">
      <w:pPr>
        <w:numPr>
          <w:ilvl w:val="2"/>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Notes: this number excludes ~10% of technicians who are solo practitioners and wouldn’t be relevant; ~77% of this market is in SMB (10-50 FTEs) and MM (50-500 FTEs)</w:t>
      </w:r>
    </w:p>
    <w:p w14:paraId="3F131955"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Quickbooks dominates the industry (~40%+ of the market is “unvended” by FSMs)</w:t>
      </w:r>
    </w:p>
    <w:p w14:paraId="5ABF9863" w14:textId="77777777" w:rsidR="000D44EF" w:rsidRPr="000D44EF" w:rsidRDefault="000D44EF" w:rsidP="000D44EF">
      <w:pPr>
        <w:numPr>
          <w:ilvl w:val="0"/>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Technology Adoption / Segmentation</w:t>
      </w:r>
    </w:p>
    <w:p w14:paraId="0345E4E3"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Pen &amp; paper / spreadsheets: &lt;$1m revenue shops on QB Desktop mainly for invoicing (not worth the time)</w:t>
      </w:r>
    </w:p>
    <w:p w14:paraId="2B6A808E"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QB + something (interesting***): ~$1m-$5m revenue shops (largest population of contractors) using QB Desktop (not Online version, Desktop has been industry standard for 20+ years) as primary accounting tool and might have added basic scheduling or dispatch on top + use a lightweight CRM</w:t>
      </w:r>
    </w:p>
    <w:p w14:paraId="2FD281E2"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Scaling contractor (most interesting***): ~$5m-$50m revenue shops with enough complexity to make migration hard (# of technicians, service agreements, years of customer equipment history) and enough pain from QB that they are like all looking at FSMs these days</w:t>
      </w:r>
    </w:p>
    <w:p w14:paraId="39CD91B8"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Enterprises: $50m+ revenue shops; irrelevant for this</w:t>
      </w:r>
    </w:p>
    <w:p w14:paraId="1E5C18C9" w14:textId="77777777" w:rsidR="000D44EF" w:rsidRPr="000D44EF" w:rsidRDefault="000D44EF" w:rsidP="000D44EF">
      <w:pPr>
        <w:numPr>
          <w:ilvl w:val="0"/>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Trends (main ones)</w:t>
      </w:r>
    </w:p>
    <w:p w14:paraId="4E2FA1CC"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Labor Shortage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average age of HVAC pro is 54 years old, need tech to give younger workers more complex jobs + reduce admin work across the board</w:t>
      </w:r>
    </w:p>
    <w:p w14:paraId="145EF397" w14:textId="77777777" w:rsidR="000D44EF" w:rsidRPr="000D44EF" w:rsidRDefault="000D44EF" w:rsidP="000D44EF">
      <w:pPr>
        <w:numPr>
          <w:ilvl w:val="1"/>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PE Consolidation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~15% of the residential HVAC market is consolidated by PE vs. ~6% in 2018 (market is getting “saturated” but firms are still doing this)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upgrade technology to ServiceTitan after they combine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probably 1k+ PE-driven FSM migrations occurring every year (bet this is a $50m+ opportunity on its own)</w:t>
      </w:r>
    </w:p>
    <w:p w14:paraId="19B3B196" w14:textId="77777777" w:rsidR="000D44EF" w:rsidRPr="000D44EF" w:rsidRDefault="000D44EF" w:rsidP="000D44EF">
      <w:pPr>
        <w:numPr>
          <w:ilvl w:val="2"/>
          <w:numId w:val="3"/>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This could be a customer target</w:t>
      </w:r>
    </w:p>
    <w:p w14:paraId="1DB0972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1AA31D24"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What a typical $10m revenue HVAC company on QB Desktop looks like:</w:t>
      </w:r>
    </w:p>
    <w:p w14:paraId="7EA1B87A"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2019 vintage platform (not updated) as accounting GL, AP, AR, invoicing system</w:t>
      </w:r>
    </w:p>
    <w:p w14:paraId="1D2F2EB0"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Whiteboard in the office to plan dispatching (not kidding)</w:t>
      </w:r>
    </w:p>
    <w:p w14:paraId="361ECDE9"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Technicians carrying paper invoices that get keyed into QB by back-office admin</w:t>
      </w:r>
    </w:p>
    <w:p w14:paraId="56CE316B"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Customer records in a three-ring binder, not digital</w:t>
      </w:r>
    </w:p>
    <w:p w14:paraId="3F4AC48A"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Service agreements (maintenance contracts) tracked in Excel or a literal cabinet</w:t>
      </w:r>
    </w:p>
    <w:p w14:paraId="3262C6D6"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Parts and inventory tracked in separate spreadsheet or not at all</w:t>
      </w:r>
    </w:p>
    <w:p w14:paraId="1272DE61"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lastRenderedPageBreak/>
        <w:t>Payroll run by a bookkeeper in QB payroll or ADP (all manually entered from paper time sheets)</w:t>
      </w:r>
    </w:p>
    <w:p w14:paraId="5BC9F286" w14:textId="77777777" w:rsidR="000D44EF" w:rsidRPr="000D44EF" w:rsidRDefault="000D44EF" w:rsidP="000D44EF">
      <w:pPr>
        <w:numPr>
          <w:ilvl w:val="0"/>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i/>
          <w:iCs/>
          <w:color w:val="242424"/>
          <w:kern w:val="0"/>
          <w:sz w:val="20"/>
          <w:szCs w:val="20"/>
          <w:bdr w:val="none" w:sz="0" w:space="0" w:color="auto" w:frame="1"/>
          <w14:ligatures w14:val="none"/>
        </w:rPr>
        <w:t>Why don’t they switch? Don’t they know about ServiceTitan at this point?</w:t>
      </w:r>
    </w:p>
    <w:p w14:paraId="6D69DCDD" w14:textId="77777777" w:rsidR="000D44EF" w:rsidRPr="000D44EF" w:rsidRDefault="000D44EF" w:rsidP="000D44EF">
      <w:pPr>
        <w:numPr>
          <w:ilvl w:val="1"/>
          <w:numId w:val="4"/>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Scared of data loss (15 years of shit in QB), worried business will stop during transition, technician adoption failure, cost/time for onboarding fees and implementation timelines</w:t>
      </w:r>
    </w:p>
    <w:p w14:paraId="114AF07E"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02F8BBF6"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ServiceTitan Problems</w:t>
      </w:r>
    </w:p>
    <w:p w14:paraId="1B4F89F6" w14:textId="77777777" w:rsidR="000D44EF" w:rsidRPr="000D44EF" w:rsidRDefault="000D44EF" w:rsidP="000D44EF">
      <w:pPr>
        <w:numPr>
          <w:ilvl w:val="0"/>
          <w:numId w:val="5"/>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Internal onboarding team designed to handle volume, not complexity (templatized processes, remote-only delivery, 1 specialist working with 20 accounts simultaneously)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w:t>
      </w:r>
      <w:r w:rsidRPr="000D44EF">
        <w:rPr>
          <w:rFonts w:ascii="Calibri" w:eastAsia="Times New Roman" w:hAnsi="Calibri" w:cs="Calibri"/>
          <w:b/>
          <w:bCs/>
          <w:color w:val="242424"/>
          <w:kern w:val="0"/>
          <w:sz w:val="20"/>
          <w:szCs w:val="20"/>
          <w:bdr w:val="none" w:sz="0" w:space="0" w:color="auto" w:frame="1"/>
          <w14:ligatures w14:val="none"/>
        </w:rPr>
        <w:t>look at Capterra and G2 customer reviews about the implementation and onboarding process</w:t>
      </w:r>
    </w:p>
    <w:p w14:paraId="556C61AF" w14:textId="77777777" w:rsidR="000D44EF" w:rsidRPr="000D44EF" w:rsidRDefault="000D44EF" w:rsidP="000D44EF">
      <w:pPr>
        <w:numPr>
          <w:ilvl w:val="0"/>
          <w:numId w:val="5"/>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PRICEBOOK</w:t>
      </w:r>
    </w:p>
    <w:p w14:paraId="39EC53B6" w14:textId="77777777" w:rsidR="000D44EF" w:rsidRPr="000D44EF" w:rsidRDefault="000D44EF" w:rsidP="000D44EF">
      <w:pPr>
        <w:numPr>
          <w:ilvl w:val="1"/>
          <w:numId w:val="5"/>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Random thing we came across during XOi but insanely important</w:t>
      </w:r>
    </w:p>
    <w:p w14:paraId="3A543E7D" w14:textId="77777777" w:rsidR="000D44EF" w:rsidRPr="000D44EF" w:rsidRDefault="000D44EF" w:rsidP="000D44EF">
      <w:pPr>
        <w:numPr>
          <w:ilvl w:val="1"/>
          <w:numId w:val="5"/>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A pricebook shows every service, repair, installation that a contractor offers with price points for each; a well-configured one will have up to 2k line items (diagnostic fees by equipment type or job category (residential vs commercial, new customer vs existing), hundreds of specific repairs (capacitor replacement, single-phase, X number of Volts, etc.), hundreds of parts with cost and retail pricing</w:t>
      </w:r>
    </w:p>
    <w:p w14:paraId="4CEE254A" w14:textId="77777777" w:rsidR="000D44EF" w:rsidRPr="000D44EF" w:rsidRDefault="000D44EF" w:rsidP="000D44EF">
      <w:pPr>
        <w:numPr>
          <w:ilvl w:val="2"/>
          <w:numId w:val="5"/>
        </w:numPr>
        <w:shd w:val="clear" w:color="auto" w:fill="FFFFFF"/>
        <w:spacing w:after="0" w:line="240" w:lineRule="auto"/>
        <w:rPr>
          <w:rFonts w:ascii="Aptos" w:eastAsia="Times New Roman" w:hAnsi="Aptos" w:cs="Segoe UI"/>
          <w:color w:val="242424"/>
          <w:kern w:val="0"/>
          <w14:ligatures w14:val="none"/>
        </w:rPr>
      </w:pP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most QB Desktop contractors don’t have one at all (quote prices from their noggins + standard items in QB) so getting this into a ServiceTitan pricebook requires grouping/categorizing all of the historical data (can extract from QB directly apparently), mapping to new pricebook equivalents, training the techs to use the pricebook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w:t>
      </w:r>
      <w:r w:rsidRPr="000D44EF">
        <w:rPr>
          <w:rFonts w:ascii="Calibri" w:eastAsia="Times New Roman" w:hAnsi="Calibri" w:cs="Calibri"/>
          <w:b/>
          <w:bCs/>
          <w:color w:val="242424"/>
          <w:kern w:val="0"/>
          <w:sz w:val="20"/>
          <w:szCs w:val="20"/>
          <w:bdr w:val="none" w:sz="0" w:space="0" w:color="auto" w:frame="1"/>
          <w14:ligatures w14:val="none"/>
        </w:rPr>
        <w:t>takes weeks to implement (building this feature alone to one-shot the first pass of pricebook creation would justify an engagement fee)</w:t>
      </w:r>
    </w:p>
    <w:p w14:paraId="67196697" w14:textId="77777777" w:rsidR="000D44EF" w:rsidRPr="000D44EF" w:rsidRDefault="000D44EF" w:rsidP="000D44EF">
      <w:pPr>
        <w:numPr>
          <w:ilvl w:val="0"/>
          <w:numId w:val="5"/>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Migrating service agreements is an issue like the accounting stuff we talked about (QB invoices don’t have enough structure so reconstructing it is pretty sketchy)</w:t>
      </w:r>
    </w:p>
    <w:p w14:paraId="54819F79" w14:textId="77777777" w:rsidR="000D44EF" w:rsidRPr="000D44EF" w:rsidRDefault="000D44EF" w:rsidP="000D44EF">
      <w:pPr>
        <w:numPr>
          <w:ilvl w:val="1"/>
          <w:numId w:val="5"/>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Would need to learn more about this – it’s in my notes but bad notes</w:t>
      </w:r>
    </w:p>
    <w:p w14:paraId="0BCFBF06"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3BE0096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ICP</w:t>
      </w:r>
    </w:p>
    <w:p w14:paraId="1CD534B8"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Vertical: HVAC (primary), plumbing, and/or electrical (talked about above)</w:t>
      </w:r>
    </w:p>
    <w:p w14:paraId="3A544632"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Revenue: $5-20m revenue (SMB-ish) with probably 10+ technicians and some backoffice people (maybe 15+ employees total)</w:t>
      </w:r>
    </w:p>
    <w:p w14:paraId="4E15AD5A"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Current Software: QB Desktop (or QB Online)</w:t>
      </w:r>
    </w:p>
    <w:p w14:paraId="30A83096"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Target Platform: ServiceTitan (dominant, they have 12k+ customers)</w:t>
      </w:r>
    </w:p>
    <w:p w14:paraId="3F5CAAA2"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Buyer: Possibly a hired Ops guy in last 12-18 months but still founder/owner most likely</w:t>
      </w:r>
    </w:p>
    <w:p w14:paraId="610ACEE8"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Trigger Events / Sourcing: New GM hired (LinkedIn), maybe a job posting for “ServiceTitan Administrator”</w:t>
      </w:r>
    </w:p>
    <w:p w14:paraId="76B0941D" w14:textId="77777777" w:rsidR="000D44EF" w:rsidRPr="000D44EF" w:rsidRDefault="000D44EF" w:rsidP="000D44EF">
      <w:pPr>
        <w:numPr>
          <w:ilvl w:val="0"/>
          <w:numId w:val="6"/>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GTM: ServiceTitan Partner Ecosystem </w:t>
      </w:r>
      <w:r w:rsidRPr="000D44EF">
        <w:rPr>
          <w:rFonts w:ascii="Wingdings" w:eastAsia="Times New Roman" w:hAnsi="Wingdings" w:cs="Segoe UI"/>
          <w:color w:val="242424"/>
          <w:kern w:val="0"/>
          <w:sz w:val="20"/>
          <w:szCs w:val="20"/>
          <w:bdr w:val="none" w:sz="0" w:space="0" w:color="auto" w:frame="1"/>
          <w14:ligatures w14:val="none"/>
        </w:rPr>
        <w:t>à</w:t>
      </w:r>
      <w:r w:rsidRPr="000D44EF">
        <w:rPr>
          <w:rFonts w:ascii="Calibri" w:eastAsia="Times New Roman" w:hAnsi="Calibri" w:cs="Calibri"/>
          <w:color w:val="242424"/>
          <w:kern w:val="0"/>
          <w:sz w:val="20"/>
          <w:szCs w:val="20"/>
          <w:bdr w:val="none" w:sz="0" w:space="0" w:color="auto" w:frame="1"/>
          <w14:ligatures w14:val="none"/>
        </w:rPr>
        <w:t> become ServiceTitan ProPartner (application + exam on product knowledge + complete 3 verified implementations + NPS threshold)</w:t>
      </w:r>
    </w:p>
    <w:p w14:paraId="6F2F03B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79AE3B99"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In between these is where Jack ends and Claude begins</w:t>
      </w:r>
    </w:p>
    <w:p w14:paraId="2C315EBC"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7D0C1967"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PRODUCT (ALL FROM CLAUDE)</w:t>
      </w:r>
    </w:p>
    <w:p w14:paraId="54376CB8"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Migration</w:t>
      </w:r>
    </w:p>
    <w:p w14:paraId="6D52A2B0" w14:textId="77777777" w:rsidR="000D44EF" w:rsidRPr="000D44EF" w:rsidRDefault="000D44EF" w:rsidP="000D44EF">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0D44EF">
        <w:rPr>
          <w:rFonts w:ascii="FluentSystemIcons" w:eastAsia="Times New Roman" w:hAnsi="FluentSystemIcons" w:cs="Segoe UI"/>
          <w:color w:val="242424"/>
          <w:kern w:val="0"/>
          <w:sz w:val="30"/>
          <w:szCs w:val="30"/>
          <w:bdr w:val="none" w:sz="0" w:space="0" w:color="auto" w:frame="1"/>
          <w14:ligatures w14:val="none"/>
        </w:rPr>
        <w:t></w:t>
      </w:r>
    </w:p>
    <w:tbl>
      <w:tblPr>
        <w:tblW w:w="12592" w:type="dxa"/>
        <w:tblCellMar>
          <w:left w:w="0" w:type="dxa"/>
          <w:right w:w="0" w:type="dxa"/>
        </w:tblCellMar>
        <w:tblLook w:val="04A0" w:firstRow="1" w:lastRow="0" w:firstColumn="1" w:lastColumn="0" w:noHBand="0" w:noVBand="1"/>
      </w:tblPr>
      <w:tblGrid>
        <w:gridCol w:w="2400"/>
        <w:gridCol w:w="2000"/>
        <w:gridCol w:w="2702"/>
        <w:gridCol w:w="2340"/>
        <w:gridCol w:w="3150"/>
      </w:tblGrid>
      <w:tr w:rsidR="000D44EF" w:rsidRPr="000D44EF" w14:paraId="25D51D47" w14:textId="77777777">
        <w:tc>
          <w:tcPr>
            <w:tcW w:w="2400" w:type="dxa"/>
            <w:tcBorders>
              <w:top w:val="single" w:sz="8" w:space="0" w:color="1B2E4B"/>
              <w:left w:val="single" w:sz="8" w:space="0" w:color="1B2E4B"/>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16381D9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Data Object</w:t>
            </w:r>
          </w:p>
        </w:tc>
        <w:tc>
          <w:tcPr>
            <w:tcW w:w="200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01D41A0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Source (QB Desktop)</w:t>
            </w:r>
          </w:p>
        </w:tc>
        <w:tc>
          <w:tcPr>
            <w:tcW w:w="2702"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40F72ECC"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Target (ServiceTitan)</w:t>
            </w:r>
          </w:p>
        </w:tc>
        <w:tc>
          <w:tcPr>
            <w:tcW w:w="234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65CB210D"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Migration Complexity</w:t>
            </w:r>
          </w:p>
        </w:tc>
        <w:tc>
          <w:tcPr>
            <w:tcW w:w="315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3CBFD18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FieldPass Automation Opportunity</w:t>
            </w:r>
          </w:p>
        </w:tc>
      </w:tr>
      <w:tr w:rsidR="000D44EF" w:rsidRPr="000D44EF" w14:paraId="715CC024" w14:textId="77777777">
        <w:tc>
          <w:tcPr>
            <w:tcW w:w="24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7BD0F75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Customer Records</w:t>
            </w:r>
          </w:p>
        </w:tc>
        <w:tc>
          <w:tcPr>
            <w:tcW w:w="2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1AADE0E9"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Customer list with name, address, phone, email</w:t>
            </w:r>
          </w:p>
        </w:tc>
        <w:tc>
          <w:tcPr>
            <w:tcW w:w="2702"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1B99FA60"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Customer + Location data model (customer can have multiple service locations)</w:t>
            </w:r>
          </w:p>
        </w:tc>
        <w:tc>
          <w:tcPr>
            <w:tcW w:w="234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7D27036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Medium — address cleaning, dedup</w:t>
            </w:r>
          </w:p>
        </w:tc>
        <w:tc>
          <w:tcPr>
            <w:tcW w:w="315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5CBA47A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High — address normalization, dedup AI</w:t>
            </w:r>
          </w:p>
        </w:tc>
      </w:tr>
      <w:tr w:rsidR="000D44EF" w:rsidRPr="000D44EF" w14:paraId="7AEDA231" w14:textId="77777777">
        <w:tc>
          <w:tcPr>
            <w:tcW w:w="24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0E440E6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Equipment Records</w:t>
            </w:r>
          </w:p>
        </w:tc>
        <w:tc>
          <w:tcPr>
            <w:tcW w:w="2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63EA544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 xml:space="preserve">Items/products or free-text invoice </w:t>
            </w:r>
            <w:r w:rsidRPr="000D44EF">
              <w:rPr>
                <w:rFonts w:ascii="Calibri" w:eastAsia="Times New Roman" w:hAnsi="Calibri" w:cs="Calibri"/>
                <w:color w:val="000000"/>
                <w:kern w:val="0"/>
                <w:sz w:val="20"/>
                <w:szCs w:val="20"/>
                <w:bdr w:val="none" w:sz="0" w:space="0" w:color="auto" w:frame="1"/>
                <w14:ligatures w14:val="none"/>
              </w:rPr>
              <w:lastRenderedPageBreak/>
              <w:t>lines; often in notes fields</w:t>
            </w:r>
          </w:p>
        </w:tc>
        <w:tc>
          <w:tcPr>
            <w:tcW w:w="2702"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2FAFD1C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lastRenderedPageBreak/>
              <w:t>Equipment records attached to specific locations (brand, model, serial, install date)</w:t>
            </w:r>
          </w:p>
        </w:tc>
        <w:tc>
          <w:tcPr>
            <w:tcW w:w="234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070EA82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High — semi-structured source data</w:t>
            </w:r>
          </w:p>
        </w:tc>
        <w:tc>
          <w:tcPr>
            <w:tcW w:w="315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58561EEF"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High — NLP extraction from QB notes/line items</w:t>
            </w:r>
          </w:p>
        </w:tc>
      </w:tr>
      <w:tr w:rsidR="000D44EF" w:rsidRPr="000D44EF" w14:paraId="53D9ECFD" w14:textId="77777777">
        <w:tc>
          <w:tcPr>
            <w:tcW w:w="24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09743D2C"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Invoice/Job History</w:t>
            </w:r>
          </w:p>
        </w:tc>
        <w:tc>
          <w:tcPr>
            <w:tcW w:w="2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4B5B6EC4"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 invoices with line items</w:t>
            </w:r>
          </w:p>
        </w:tc>
        <w:tc>
          <w:tcPr>
            <w:tcW w:w="2702"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0DB52E5F"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Completed jobs with associated tasks, parts, technician records</w:t>
            </w:r>
          </w:p>
        </w:tc>
        <w:tc>
          <w:tcPr>
            <w:tcW w:w="234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7AC0ABD4"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Medium-High — QB items don't map to ST tasks</w:t>
            </w:r>
          </w:p>
        </w:tc>
        <w:tc>
          <w:tcPr>
            <w:tcW w:w="315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4C8CE27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High — mapping QB items to ST pricebook tasks</w:t>
            </w:r>
          </w:p>
        </w:tc>
      </w:tr>
      <w:tr w:rsidR="000D44EF" w:rsidRPr="000D44EF" w14:paraId="7183A4C4" w14:textId="77777777">
        <w:tc>
          <w:tcPr>
            <w:tcW w:w="24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6A65915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Open Receivables</w:t>
            </w:r>
          </w:p>
        </w:tc>
        <w:tc>
          <w:tcPr>
            <w:tcW w:w="2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55863C0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 AR aging</w:t>
            </w:r>
          </w:p>
        </w:tc>
        <w:tc>
          <w:tcPr>
            <w:tcW w:w="2702"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19B9CEEF"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ST open invoices</w:t>
            </w:r>
          </w:p>
        </w:tc>
        <w:tc>
          <w:tcPr>
            <w:tcW w:w="234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08445A0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Low — well-structured</w:t>
            </w:r>
          </w:p>
        </w:tc>
        <w:tc>
          <w:tcPr>
            <w:tcW w:w="315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413D8E29"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Medium — standard ETL</w:t>
            </w:r>
          </w:p>
        </w:tc>
      </w:tr>
      <w:tr w:rsidR="000D44EF" w:rsidRPr="000D44EF" w14:paraId="238A06AA" w14:textId="77777777">
        <w:tc>
          <w:tcPr>
            <w:tcW w:w="24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6254E64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Pricebook</w:t>
            </w:r>
          </w:p>
        </w:tc>
        <w:tc>
          <w:tcPr>
            <w:tcW w:w="2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6E13A51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 items (flat, uncategorized)</w:t>
            </w:r>
          </w:p>
        </w:tc>
        <w:tc>
          <w:tcPr>
            <w:tcW w:w="2702"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02B10EA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ST pricebook (hierarchical: categories &gt; services &gt; tasks &gt; parts)</w:t>
            </w:r>
          </w:p>
        </w:tc>
        <w:tc>
          <w:tcPr>
            <w:tcW w:w="234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5D8C692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Very High — requires domain knowledge</w:t>
            </w:r>
          </w:p>
        </w:tc>
        <w:tc>
          <w:tcPr>
            <w:tcW w:w="315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6EAAA50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Very High — FieldPass's core IP</w:t>
            </w:r>
          </w:p>
        </w:tc>
      </w:tr>
      <w:tr w:rsidR="000D44EF" w:rsidRPr="000D44EF" w14:paraId="69707B6B" w14:textId="77777777">
        <w:tc>
          <w:tcPr>
            <w:tcW w:w="24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012E6AAC"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Service Agreements</w:t>
            </w:r>
          </w:p>
        </w:tc>
        <w:tc>
          <w:tcPr>
            <w:tcW w:w="2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6CBF03D3"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 recurring invoices or external Excel</w:t>
            </w:r>
          </w:p>
        </w:tc>
        <w:tc>
          <w:tcPr>
            <w:tcW w:w="2702"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7702B07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ST service agreements (complex object with location, equipment, tier, visits, billing)</w:t>
            </w:r>
          </w:p>
        </w:tc>
        <w:tc>
          <w:tcPr>
            <w:tcW w:w="234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3D38790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Very High — poorest source data quality</w:t>
            </w:r>
          </w:p>
        </w:tc>
        <w:tc>
          <w:tcPr>
            <w:tcW w:w="315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3A8708FC"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High — agreement reconstruction logic</w:t>
            </w:r>
          </w:p>
        </w:tc>
      </w:tr>
      <w:tr w:rsidR="000D44EF" w:rsidRPr="000D44EF" w14:paraId="22D7AA5F" w14:textId="77777777">
        <w:tc>
          <w:tcPr>
            <w:tcW w:w="24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1B3BA9D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Vendor Records</w:t>
            </w:r>
          </w:p>
        </w:tc>
        <w:tc>
          <w:tcPr>
            <w:tcW w:w="2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5AEF5B2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 vendor list</w:t>
            </w:r>
          </w:p>
        </w:tc>
        <w:tc>
          <w:tcPr>
            <w:tcW w:w="2702"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2B88839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ST vendor records + preferred vendor assignments</w:t>
            </w:r>
          </w:p>
        </w:tc>
        <w:tc>
          <w:tcPr>
            <w:tcW w:w="234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2F2C257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Low</w:t>
            </w:r>
          </w:p>
        </w:tc>
        <w:tc>
          <w:tcPr>
            <w:tcW w:w="315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4BA5631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Low — standard ETL</w:t>
            </w:r>
          </w:p>
        </w:tc>
      </w:tr>
      <w:tr w:rsidR="000D44EF" w:rsidRPr="000D44EF" w14:paraId="4508CCD1" w14:textId="77777777">
        <w:tc>
          <w:tcPr>
            <w:tcW w:w="24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46AFD4C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Chart of Accounts</w:t>
            </w:r>
          </w:p>
        </w:tc>
        <w:tc>
          <w:tcPr>
            <w:tcW w:w="2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6281CC93"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 CoA (usually flat, 50–200 accounts)</w:t>
            </w:r>
          </w:p>
        </w:tc>
        <w:tc>
          <w:tcPr>
            <w:tcW w:w="2702"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289202C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ST integrated GL (maps to external accounting integration)</w:t>
            </w:r>
          </w:p>
        </w:tc>
        <w:tc>
          <w:tcPr>
            <w:tcW w:w="234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0481BBA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Medium — requires accounting expertise</w:t>
            </w:r>
          </w:p>
        </w:tc>
        <w:tc>
          <w:tcPr>
            <w:tcW w:w="315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0007C47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Medium — CoA rationalization logic</w:t>
            </w:r>
          </w:p>
        </w:tc>
      </w:tr>
    </w:tbl>
    <w:p w14:paraId="7DA6419E"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6E30541D"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Tech Features</w:t>
      </w:r>
    </w:p>
    <w:p w14:paraId="4F17D731" w14:textId="77777777" w:rsidR="000D44EF" w:rsidRPr="000D44EF" w:rsidRDefault="000D44EF" w:rsidP="000D44EF">
      <w:pPr>
        <w:numPr>
          <w:ilvl w:val="0"/>
          <w:numId w:val="7"/>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Automated Data Migration Engine (“Bridge” is what Claude called it)</w:t>
      </w:r>
    </w:p>
    <w:p w14:paraId="60A759FA"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Bridge is the technical core of the product. It is the automated data pipeline that eliminates 70–80% of the manual work in a traditional field service migration. The key distinction from a generic ETL tool is domain-specific intelligence: Bridge understands field service data, not just generic business data.</w:t>
      </w:r>
    </w:p>
    <w:p w14:paraId="0F33AA3C"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bookmarkStart w:id="0" w:name="x__Toc225863075"/>
      <w:r w:rsidRPr="000D44EF">
        <w:rPr>
          <w:rFonts w:ascii="Calibri" w:eastAsia="Times New Roman" w:hAnsi="Calibri" w:cs="Calibri"/>
          <w:b/>
          <w:bCs/>
          <w:color w:val="242424"/>
          <w:kern w:val="0"/>
          <w:sz w:val="20"/>
          <w:szCs w:val="20"/>
          <w:bdr w:val="none" w:sz="0" w:space="0" w:color="auto" w:frame="1"/>
          <w14:ligatures w14:val="none"/>
        </w:rPr>
        <w:t>Source Connectors (Phase 1 Priority)</w:t>
      </w:r>
      <w:bookmarkEnd w:id="0"/>
    </w:p>
    <w:p w14:paraId="4C166E2D" w14:textId="77777777" w:rsidR="000D44EF" w:rsidRPr="000D44EF" w:rsidRDefault="000D44EF" w:rsidP="000D44EF">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0D44EF">
        <w:rPr>
          <w:rFonts w:ascii="FluentSystemIcons" w:eastAsia="Times New Roman" w:hAnsi="FluentSystemIcons" w:cs="Segoe UI"/>
          <w:color w:val="242424"/>
          <w:kern w:val="0"/>
          <w:sz w:val="30"/>
          <w:szCs w:val="30"/>
          <w:bdr w:val="none" w:sz="0" w:space="0" w:color="auto" w:frame="1"/>
          <w14:ligatures w14:val="none"/>
        </w:rPr>
        <w:t></w:t>
      </w:r>
    </w:p>
    <w:tbl>
      <w:tblPr>
        <w:tblW w:w="9360" w:type="dxa"/>
        <w:tblCellMar>
          <w:left w:w="0" w:type="dxa"/>
          <w:right w:w="0" w:type="dxa"/>
        </w:tblCellMar>
        <w:tblLook w:val="04A0" w:firstRow="1" w:lastRow="0" w:firstColumn="1" w:lastColumn="0" w:noHBand="0" w:noVBand="1"/>
      </w:tblPr>
      <w:tblGrid>
        <w:gridCol w:w="2273"/>
        <w:gridCol w:w="2096"/>
        <w:gridCol w:w="2036"/>
        <w:gridCol w:w="1368"/>
        <w:gridCol w:w="1587"/>
      </w:tblGrid>
      <w:tr w:rsidR="000D44EF" w:rsidRPr="000D44EF" w14:paraId="51881F94" w14:textId="77777777">
        <w:tc>
          <w:tcPr>
            <w:tcW w:w="2275" w:type="dxa"/>
            <w:tcBorders>
              <w:top w:val="single" w:sz="8" w:space="0" w:color="1B2E4B"/>
              <w:left w:val="single" w:sz="8" w:space="0" w:color="1B2E4B"/>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138D9EE6"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Source System</w:t>
            </w:r>
          </w:p>
        </w:tc>
        <w:tc>
          <w:tcPr>
            <w:tcW w:w="2097"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3B159C4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Connection Method</w:t>
            </w:r>
          </w:p>
        </w:tc>
        <w:tc>
          <w:tcPr>
            <w:tcW w:w="2037"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4718DE2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Data Objects Available</w:t>
            </w:r>
          </w:p>
        </w:tc>
        <w:tc>
          <w:tcPr>
            <w:tcW w:w="1363"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20105FC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Migration Frequency</w:t>
            </w:r>
          </w:p>
        </w:tc>
        <w:tc>
          <w:tcPr>
            <w:tcW w:w="1588"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2F364F2C"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Build Priority</w:t>
            </w:r>
          </w:p>
        </w:tc>
      </w:tr>
      <w:tr w:rsidR="000D44EF" w:rsidRPr="000D44EF" w14:paraId="6148D651" w14:textId="77777777">
        <w:tc>
          <w:tcPr>
            <w:tcW w:w="2275"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6E304D60"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QuickBooks Desktop (2015–2024)</w:t>
            </w:r>
          </w:p>
        </w:tc>
        <w:tc>
          <w:tcPr>
            <w:tcW w:w="2097"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4E15493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QBXML SDK (local SDK connection, requires brief Windows session)</w:t>
            </w:r>
          </w:p>
        </w:tc>
        <w:tc>
          <w:tcPr>
            <w:tcW w:w="2037"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21A5DD9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Customers, vendors, items/products, invoices, bills, payments, chart of accounts, employee records</w:t>
            </w:r>
          </w:p>
        </w:tc>
        <w:tc>
          <w:tcPr>
            <w:tcW w:w="1363"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73333FFF"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Very high — dominant in trades</w:t>
            </w:r>
          </w:p>
        </w:tc>
        <w:tc>
          <w:tcPr>
            <w:tcW w:w="1588"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102B1EC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P0 — build first</w:t>
            </w:r>
          </w:p>
        </w:tc>
      </w:tr>
      <w:tr w:rsidR="000D44EF" w:rsidRPr="000D44EF" w14:paraId="2A11FA20" w14:textId="77777777">
        <w:tc>
          <w:tcPr>
            <w:tcW w:w="2275"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4252BE56"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QuickBooks Online</w:t>
            </w:r>
          </w:p>
        </w:tc>
        <w:tc>
          <w:tcPr>
            <w:tcW w:w="2097"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7B5CCC1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Intuit REST API (OAuth 2.0)</w:t>
            </w:r>
          </w:p>
        </w:tc>
        <w:tc>
          <w:tcPr>
            <w:tcW w:w="2037"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320DBEC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Same as above via REST; cleaner API</w:t>
            </w:r>
          </w:p>
        </w:tc>
        <w:tc>
          <w:tcPr>
            <w:tcW w:w="1363"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545CDC3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High — growing in trades</w:t>
            </w:r>
          </w:p>
        </w:tc>
        <w:tc>
          <w:tcPr>
            <w:tcW w:w="1588"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097A0B59"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P0 — build alongside Desktop</w:t>
            </w:r>
          </w:p>
        </w:tc>
      </w:tr>
      <w:tr w:rsidR="000D44EF" w:rsidRPr="000D44EF" w14:paraId="3A65F630" w14:textId="77777777">
        <w:tc>
          <w:tcPr>
            <w:tcW w:w="2275"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0EB55839"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Paper/Excel hybrid</w:t>
            </w:r>
          </w:p>
        </w:tc>
        <w:tc>
          <w:tcPr>
            <w:tcW w:w="2097"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5E0637D4"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OCR + structured template ingestion; photograph of service records</w:t>
            </w:r>
          </w:p>
        </w:tc>
        <w:tc>
          <w:tcPr>
            <w:tcW w:w="2037"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2F98B7E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Service agreements, equipment lists</w:t>
            </w:r>
          </w:p>
        </w:tc>
        <w:tc>
          <w:tcPr>
            <w:tcW w:w="1363"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10D3E460"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Lower volume but high-value for data completeness</w:t>
            </w:r>
          </w:p>
        </w:tc>
        <w:tc>
          <w:tcPr>
            <w:tcW w:w="1588"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2BECE6F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P1 — Month 6+</w:t>
            </w:r>
          </w:p>
        </w:tc>
      </w:tr>
    </w:tbl>
    <w:p w14:paraId="74A2627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bookmarkStart w:id="1" w:name="x__Toc225863076"/>
      <w:r w:rsidRPr="000D44EF">
        <w:rPr>
          <w:rFonts w:ascii="Calibri" w:eastAsia="Times New Roman" w:hAnsi="Calibri" w:cs="Calibri"/>
          <w:b/>
          <w:bCs/>
          <w:color w:val="242424"/>
          <w:kern w:val="0"/>
          <w:sz w:val="20"/>
          <w:szCs w:val="20"/>
          <w:bdr w:val="none" w:sz="0" w:space="0" w:color="auto" w:frame="1"/>
          <w14:ligatures w14:val="none"/>
        </w:rPr>
        <w:t>Target Connectors (Phase 1)</w:t>
      </w:r>
      <w:bookmarkEnd w:id="1"/>
    </w:p>
    <w:p w14:paraId="14A8063D" w14:textId="77777777" w:rsidR="000D44EF" w:rsidRPr="000D44EF" w:rsidRDefault="000D44EF" w:rsidP="000D44EF">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0D44EF">
        <w:rPr>
          <w:rFonts w:ascii="FluentSystemIcons" w:eastAsia="Times New Roman" w:hAnsi="FluentSystemIcons" w:cs="Segoe UI"/>
          <w:color w:val="242424"/>
          <w:kern w:val="0"/>
          <w:sz w:val="30"/>
          <w:szCs w:val="30"/>
          <w:bdr w:val="none" w:sz="0" w:space="0" w:color="auto" w:frame="1"/>
          <w14:ligatures w14:val="none"/>
        </w:rPr>
        <w:t></w:t>
      </w:r>
    </w:p>
    <w:tbl>
      <w:tblPr>
        <w:tblW w:w="9360" w:type="dxa"/>
        <w:tblCellMar>
          <w:left w:w="0" w:type="dxa"/>
          <w:right w:w="0" w:type="dxa"/>
        </w:tblCellMar>
        <w:tblLook w:val="04A0" w:firstRow="1" w:lastRow="0" w:firstColumn="1" w:lastColumn="0" w:noHBand="0" w:noVBand="1"/>
      </w:tblPr>
      <w:tblGrid>
        <w:gridCol w:w="2200"/>
        <w:gridCol w:w="2200"/>
        <w:gridCol w:w="3760"/>
        <w:gridCol w:w="1200"/>
      </w:tblGrid>
      <w:tr w:rsidR="000D44EF" w:rsidRPr="000D44EF" w14:paraId="115F695E" w14:textId="77777777">
        <w:tc>
          <w:tcPr>
            <w:tcW w:w="2200" w:type="dxa"/>
            <w:tcBorders>
              <w:top w:val="single" w:sz="8" w:space="0" w:color="1B2E4B"/>
              <w:left w:val="single" w:sz="8" w:space="0" w:color="1B2E4B"/>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0D03FCA6"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lastRenderedPageBreak/>
              <w:t>Target System</w:t>
            </w:r>
          </w:p>
        </w:tc>
        <w:tc>
          <w:tcPr>
            <w:tcW w:w="220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6D001F6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API / Method</w:t>
            </w:r>
          </w:p>
        </w:tc>
        <w:tc>
          <w:tcPr>
            <w:tcW w:w="376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38C1ADF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Key Complexity Points</w:t>
            </w:r>
          </w:p>
        </w:tc>
        <w:tc>
          <w:tcPr>
            <w:tcW w:w="120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793C1786"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Build Priority</w:t>
            </w:r>
          </w:p>
        </w:tc>
      </w:tr>
      <w:tr w:rsidR="000D44EF" w:rsidRPr="000D44EF" w14:paraId="5BBBC45F" w14:textId="77777777">
        <w:tc>
          <w:tcPr>
            <w:tcW w:w="22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1459EE0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ServiceTitan</w:t>
            </w:r>
          </w:p>
        </w:tc>
        <w:tc>
          <w:tcPr>
            <w:tcW w:w="22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590D42D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ServiceTitan REST API (requires integration partner program membership)</w:t>
            </w:r>
          </w:p>
        </w:tc>
        <w:tc>
          <w:tcPr>
            <w:tcW w:w="376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6CC9B95F"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Complex data model; pricebook import via separate endpoint; equipment records require location association before creation; service agreements require equipment records before creation — strict load order</w:t>
            </w:r>
          </w:p>
        </w:tc>
        <w:tc>
          <w:tcPr>
            <w:tcW w:w="12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11D9631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P0 — build first</w:t>
            </w:r>
          </w:p>
        </w:tc>
      </w:tr>
    </w:tbl>
    <w:p w14:paraId="4D6947E1"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bookmarkStart w:id="2" w:name="x__Toc225863077"/>
      <w:r w:rsidRPr="000D44EF">
        <w:rPr>
          <w:rFonts w:ascii="Calibri" w:eastAsia="Times New Roman" w:hAnsi="Calibri" w:cs="Calibri"/>
          <w:b/>
          <w:bCs/>
          <w:color w:val="242424"/>
          <w:kern w:val="0"/>
          <w:sz w:val="20"/>
          <w:szCs w:val="20"/>
          <w:bdr w:val="none" w:sz="0" w:space="0" w:color="auto" w:frame="1"/>
          <w14:ligatures w14:val="none"/>
        </w:rPr>
        <w:t>Bridge Core Capabilities</w:t>
      </w:r>
      <w:bookmarkEnd w:id="2"/>
    </w:p>
    <w:p w14:paraId="5AF754A2"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Data Profiler: scans source system, generates Data Quality Report (duplicate customer rate, address completeness, invoice history volume, service agreement count estimate, QB item taxonomy complexity). This is the free 'audit' used in the sales process.</w:t>
      </w:r>
    </w:p>
    <w:p w14:paraId="5D76B925"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Customer Deduplication Engine: ML-based fuzzy matching on customer name + address + phone to identify duplicates in QB; produces a merge recommendation report reviewed by contractor before load</w:t>
      </w:r>
    </w:p>
    <w:p w14:paraId="2EA9A8AB"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Address Normalizer: standardizes address formats, validates against USPS address database, splits combined address fields, handles apartment/suite formatting consistently</w:t>
      </w:r>
    </w:p>
    <w:p w14:paraId="3DB874FF"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Equipment Extractor: NLP model trained on HVAC/plumbing/electrical equipment names to extract brand, model, and type information from QB invoice free-text fields and notes</w:t>
      </w:r>
    </w:p>
    <w:p w14:paraId="686D4269"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Invoice-to-Task Mapper: maps QB item codes to ServiceTitan pricebook task categories using the Pricebook Builder output as the mapping reference</w:t>
      </w:r>
    </w:p>
    <w:p w14:paraId="4299A5F0"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Service Agreement Reconstructor: logic to identify recurring QB invoices as service agreement proxies, extract renewal frequency and pricing, and construct the ServiceTitan agreement data structure</w:t>
      </w:r>
    </w:p>
    <w:p w14:paraId="1B7FC254"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Load Orchestrator: executes the load into ServiceTitan in the correct dependency order (customers first, then locations, then equipment, then agreements, then historical jobs, then open AR)</w:t>
      </w:r>
    </w:p>
    <w:p w14:paraId="0F4ED7B3"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Validation Suite: post-load reconciliation — customer count check, open AR match, equipment count check, agreement count and renewal schedule verification</w:t>
      </w:r>
    </w:p>
    <w:p w14:paraId="5EB5B6EE"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7C37BE8B" w14:textId="77777777" w:rsidR="000D44EF" w:rsidRPr="000D44EF" w:rsidRDefault="000D44EF" w:rsidP="000D44EF">
      <w:pPr>
        <w:numPr>
          <w:ilvl w:val="0"/>
          <w:numId w:val="8"/>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“Pricebook Builder” (Highest Value)</w:t>
      </w:r>
    </w:p>
    <w:p w14:paraId="0195E4E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The Pricebook Builder is technically a sub-module of Bridge but deserves standalone treatment because it is FieldPass's most defensible technical capability and the primary reason clients pay the engagement fee.</w:t>
      </w:r>
    </w:p>
    <w:p w14:paraId="6E7AC52F"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Input: 24–36 months of QB invoice line items (extracted via Bridge), QB item master list, contractor's stated service area and vertical (HVAC, plumbing, electrical)</w:t>
      </w:r>
    </w:p>
    <w:p w14:paraId="76EB8B6A"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Step 1 — Item Clustering: NLP model groups QB item codes and invoice line-item descriptions by semantic similarity. An HVAC company with 200 QB items typically collapses to 60–80 meaningful service categories.</w:t>
      </w:r>
    </w:p>
    <w:p w14:paraId="45506A1A"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Step 2 — Taxonomy Mapping: clustered categories are mapped to FieldPass's field-service-specific pricebook taxonomy (which mirrors ServiceTitan's structure), producing a hierarchical category tree</w:t>
      </w:r>
    </w:p>
    <w:p w14:paraId="39034661"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Step 3 — Flat-Rate Pricing Suggestion: each task is priced using a blend of (a) the contractor's own historical average invoice value for that task, (b) industry flat-rate benchmarks from Profit Rhino's database (via licensing), and (c) FieldPass's own pricing database built from prior engagements. Three prices are suggested: low/market/premium, with the market price as default.</w:t>
      </w:r>
    </w:p>
    <w:p w14:paraId="4DAFD666"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Step 4 — Parts Association: common parts associated with each task are suggested based on industry knowledge and the contractor's own QB parts usage history</w:t>
      </w:r>
    </w:p>
    <w:p w14:paraId="6DC0D4C1"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Step 5 — Human Review Session: FieldPass consultant and contractor service manager review the draft in a 2–3 hour session, confirming/adjusting the high-frequency items (top 100 by invoice count represent 80%+ of revenue)</w:t>
      </w:r>
    </w:p>
    <w:p w14:paraId="19AED7D1" w14:textId="77777777" w:rsidR="000D44EF" w:rsidRPr="000D44EF" w:rsidRDefault="000D44EF" w:rsidP="000D44EF">
      <w:pPr>
        <w:shd w:val="clear" w:color="auto" w:fill="FFFFFF"/>
        <w:spacing w:after="0" w:line="240" w:lineRule="auto"/>
        <w:ind w:left="540" w:hanging="260"/>
        <w:rPr>
          <w:rFonts w:ascii="Aptos" w:eastAsia="Times New Roman" w:hAnsi="Aptos" w:cs="Times New Roman"/>
          <w:color w:val="242424"/>
          <w:kern w:val="0"/>
          <w14:ligatures w14:val="none"/>
        </w:rPr>
      </w:pPr>
      <w:r w:rsidRPr="000D44EF">
        <w:rPr>
          <w:rFonts w:ascii="Arial" w:eastAsia="Times New Roman" w:hAnsi="Arial" w:cs="Arial"/>
          <w:color w:val="C25E1A"/>
          <w:kern w:val="0"/>
          <w:sz w:val="21"/>
          <w:szCs w:val="21"/>
          <w:bdr w:val="none" w:sz="0" w:space="0" w:color="auto" w:frame="1"/>
          <w14:ligatures w14:val="none"/>
        </w:rPr>
        <w:t>•</w:t>
      </w:r>
      <w:r w:rsidRPr="000D44EF">
        <w:rPr>
          <w:rFonts w:ascii="Times New Roman" w:eastAsia="Times New Roman" w:hAnsi="Times New Roman" w:cs="Times New Roman"/>
          <w:color w:val="C25E1A"/>
          <w:kern w:val="0"/>
          <w:sz w:val="14"/>
          <w:szCs w:val="14"/>
          <w:bdr w:val="none" w:sz="0" w:space="0" w:color="auto" w:frame="1"/>
          <w14:ligatures w14:val="none"/>
        </w:rPr>
        <w:t>    </w:t>
      </w:r>
      <w:r w:rsidRPr="000D44EF">
        <w:rPr>
          <w:rFonts w:ascii="Calibri" w:eastAsia="Times New Roman" w:hAnsi="Calibri" w:cs="Calibri"/>
          <w:color w:val="242424"/>
          <w:kern w:val="0"/>
          <w:sz w:val="20"/>
          <w:szCs w:val="20"/>
          <w:bdr w:val="none" w:sz="0" w:space="0" w:color="auto" w:frame="1"/>
          <w14:ligatures w14:val="none"/>
        </w:rPr>
        <w:t>Step 6 — Import Package: produces a ServiceTitan-format pricebook import file (.CSV) ready for upload to the ST environment</w:t>
      </w:r>
    </w:p>
    <w:p w14:paraId="639A2F63"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2D18C73A" w14:textId="77777777" w:rsidR="000D44EF" w:rsidRPr="000D44EF" w:rsidRDefault="000D44EF" w:rsidP="000D44EF">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0D44EF">
        <w:rPr>
          <w:rFonts w:ascii="FluentSystemIcons" w:eastAsia="Times New Roman" w:hAnsi="FluentSystemIcons" w:cs="Segoe UI"/>
          <w:color w:val="242424"/>
          <w:kern w:val="0"/>
          <w:sz w:val="30"/>
          <w:szCs w:val="30"/>
          <w:bdr w:val="none" w:sz="0" w:space="0" w:color="auto" w:frame="1"/>
          <w14:ligatures w14:val="none"/>
        </w:rPr>
        <w:t></w:t>
      </w:r>
    </w:p>
    <w:tbl>
      <w:tblPr>
        <w:tblW w:w="9360" w:type="dxa"/>
        <w:tblCellMar>
          <w:left w:w="0" w:type="dxa"/>
          <w:right w:w="0" w:type="dxa"/>
        </w:tblCellMar>
        <w:tblLook w:val="04A0" w:firstRow="1" w:lastRow="0" w:firstColumn="1" w:lastColumn="0" w:noHBand="0" w:noVBand="1"/>
      </w:tblPr>
      <w:tblGrid>
        <w:gridCol w:w="226"/>
        <w:gridCol w:w="9134"/>
      </w:tblGrid>
      <w:tr w:rsidR="000D44EF" w:rsidRPr="000D44EF" w14:paraId="0A3A7597" w14:textId="77777777">
        <w:tc>
          <w:tcPr>
            <w:tcW w:w="220" w:type="dxa"/>
            <w:tcBorders>
              <w:top w:val="nil"/>
              <w:left w:val="nil"/>
              <w:bottom w:val="nil"/>
              <w:right w:val="nil"/>
            </w:tcBorders>
            <w:shd w:val="clear" w:color="auto" w:fill="C25E1A"/>
            <w:tcMar>
              <w:top w:w="100" w:type="dxa"/>
              <w:left w:w="80" w:type="dxa"/>
              <w:bottom w:w="100" w:type="dxa"/>
              <w:right w:w="80" w:type="dxa"/>
            </w:tcMar>
            <w:vAlign w:val="center"/>
            <w:hideMark/>
          </w:tcPr>
          <w:p w14:paraId="2A9FC2E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000000"/>
                <w:kern w:val="0"/>
                <w:sz w:val="20"/>
                <w:szCs w:val="20"/>
                <w:bdr w:val="none" w:sz="0" w:space="0" w:color="auto" w:frame="1"/>
                <w14:ligatures w14:val="none"/>
              </w:rPr>
              <w:lastRenderedPageBreak/>
              <w:t>!</w:t>
            </w:r>
          </w:p>
        </w:tc>
        <w:tc>
          <w:tcPr>
            <w:tcW w:w="9140" w:type="dxa"/>
            <w:tcBorders>
              <w:top w:val="nil"/>
              <w:left w:val="nil"/>
              <w:bottom w:val="nil"/>
              <w:right w:val="nil"/>
            </w:tcBorders>
            <w:shd w:val="clear" w:color="auto" w:fill="FFF3EC"/>
            <w:tcMar>
              <w:top w:w="100" w:type="dxa"/>
              <w:left w:w="160" w:type="dxa"/>
              <w:bottom w:w="100" w:type="dxa"/>
              <w:right w:w="160" w:type="dxa"/>
            </w:tcMar>
            <w:hideMark/>
          </w:tcPr>
          <w:p w14:paraId="4E03FE2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Key dependency: FieldPass must either license Profit Rhino's flat-rate database (~$3,000–$8,000/year) or build its own pricing database from aggregated engagement data. In Year 1, we use Profit Rhino. By Year 2, our own pricing database (built from N=50+ HVAC/plumbing engagements) is more accurate for our specific markets and we reduce or eliminate the dependency. This is a concrete data moat that builds with every engagement.</w:t>
            </w:r>
          </w:p>
        </w:tc>
      </w:tr>
    </w:tbl>
    <w:p w14:paraId="7FBDDDA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31ED0132"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6C53B78C" w14:textId="77777777" w:rsidR="000D44EF" w:rsidRPr="000D44EF" w:rsidRDefault="000D44EF" w:rsidP="000D44EF">
      <w:pPr>
        <w:numPr>
          <w:ilvl w:val="0"/>
          <w:numId w:val="9"/>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Technician Adoption Platform (“Train”)</w:t>
      </w:r>
    </w:p>
    <w:p w14:paraId="62B574A3"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Train addresses the most consistent failure mode in FSM implementations: human adoption. The platform has three components:</w:t>
      </w:r>
    </w:p>
    <w:p w14:paraId="664877F1"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052E338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bookmarkStart w:id="3" w:name="x__Toc225863080"/>
      <w:r w:rsidRPr="000D44EF">
        <w:rPr>
          <w:rFonts w:ascii="Calibri" w:eastAsia="Times New Roman" w:hAnsi="Calibri" w:cs="Calibri"/>
          <w:i/>
          <w:iCs/>
          <w:color w:val="242424"/>
          <w:kern w:val="0"/>
          <w:sz w:val="20"/>
          <w:szCs w:val="20"/>
          <w:bdr w:val="none" w:sz="0" w:space="0" w:color="auto" w:frame="1"/>
          <w14:ligatures w14:val="none"/>
        </w:rPr>
        <w:t>Training Content Generator</w:t>
      </w:r>
      <w:bookmarkEnd w:id="3"/>
    </w:p>
    <w:p w14:paraId="587B160F"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After ServiceTitan is configured for the specific contractor, Train reads the configuration — enabled modules, custom pricebook items, service area zones, technician names and roles — and generates contractor-specific training materials: a dispatcher quick-reference card with the contractor's exact workflows, a technician mobile app guide with screenshots from their specific ST environment, and a service agreement management guide customized to their agreement tiers.</w:t>
      </w:r>
    </w:p>
    <w:p w14:paraId="050A25C1"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bookmarkStart w:id="4" w:name="x__Toc225863081"/>
      <w:r w:rsidRPr="000D44EF">
        <w:rPr>
          <w:rFonts w:ascii="Calibri" w:eastAsia="Times New Roman" w:hAnsi="Calibri" w:cs="Calibri"/>
          <w:i/>
          <w:iCs/>
          <w:color w:val="242424"/>
          <w:kern w:val="0"/>
          <w:sz w:val="20"/>
          <w:szCs w:val="20"/>
          <w:bdr w:val="none" w:sz="0" w:space="0" w:color="auto" w:frame="1"/>
          <w14:ligatures w14:val="none"/>
        </w:rPr>
        <w:t> </w:t>
      </w:r>
      <w:bookmarkEnd w:id="4"/>
    </w:p>
    <w:p w14:paraId="71570A98"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i/>
          <w:iCs/>
          <w:color w:val="242424"/>
          <w:kern w:val="0"/>
          <w:sz w:val="20"/>
          <w:szCs w:val="20"/>
          <w:bdr w:val="none" w:sz="0" w:space="0" w:color="auto" w:frame="1"/>
          <w14:ligatures w14:val="none"/>
        </w:rPr>
        <w:t>Technician Companion Bot</w:t>
      </w:r>
    </w:p>
    <w:p w14:paraId="333E4CE0"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Train deploys a Slack or SMS-based bot that technicians can text during the first 90 days post-go-live to ask questions in plain language. 'How do I add a part that isn't in the pricebook?' 'How do I see the customer's equipment history?' 'How do I mark a job complete?' The bot is pre-loaded with ServiceTitan knowledge and the contractor's specific configuration. It dramatically reduces the volume of calls to the office asking basic 'how do I do this?' questions that slow go-live adoption.</w:t>
      </w:r>
    </w:p>
    <w:p w14:paraId="7817F72D"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bookmarkStart w:id="5" w:name="x__Toc225863082"/>
      <w:r w:rsidRPr="000D44EF">
        <w:rPr>
          <w:rFonts w:ascii="Calibri" w:eastAsia="Times New Roman" w:hAnsi="Calibri" w:cs="Calibri"/>
          <w:color w:val="242424"/>
          <w:kern w:val="0"/>
          <w:sz w:val="20"/>
          <w:szCs w:val="20"/>
          <w:bdr w:val="none" w:sz="0" w:space="0" w:color="auto" w:frame="1"/>
          <w14:ligatures w14:val="none"/>
        </w:rPr>
        <w:t> </w:t>
      </w:r>
      <w:bookmarkEnd w:id="5"/>
    </w:p>
    <w:p w14:paraId="4A727654"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i/>
          <w:iCs/>
          <w:color w:val="242424"/>
          <w:kern w:val="0"/>
          <w:sz w:val="20"/>
          <w:szCs w:val="20"/>
          <w:bdr w:val="none" w:sz="0" w:space="0" w:color="auto" w:frame="1"/>
          <w14:ligatures w14:val="none"/>
        </w:rPr>
        <w:t>Adoption Analytics Dashboard</w:t>
      </w:r>
    </w:p>
    <w:p w14:paraId="24324D75"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After go-live, Train monitors ServiceTitan usage via the ST API and surfaces adoption metrics to FieldPass and the contractor's GM: jobs created by each technician per day; pricebook utilization rate (% of invoice lines using pricebook items vs. ad-hoc); call booking response time; dispatch board utilization. Any technician falling below adoption thresholds triggers an alert and a proactive coaching intervention by the FieldPass team.</w:t>
      </w:r>
    </w:p>
    <w:p w14:paraId="38D24C48"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 </w:t>
      </w:r>
    </w:p>
    <w:p w14:paraId="76C54AA2"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u w:val="single"/>
          <w:bdr w:val="none" w:sz="0" w:space="0" w:color="auto" w:frame="1"/>
          <w14:ligatures w14:val="none"/>
        </w:rPr>
        <w:t>CLAUDE UNIT ECONOMICS</w:t>
      </w:r>
    </w:p>
    <w:p w14:paraId="09CD18F3" w14:textId="77777777" w:rsidR="000D44EF" w:rsidRPr="000D44EF" w:rsidRDefault="000D44EF" w:rsidP="000D44EF">
      <w:pPr>
        <w:shd w:val="clear" w:color="auto" w:fill="FFFFFF"/>
        <w:spacing w:after="0" w:line="240" w:lineRule="auto"/>
        <w:textAlignment w:val="baseline"/>
        <w:rPr>
          <w:rFonts w:ascii="Segoe UI" w:eastAsia="Times New Roman" w:hAnsi="Segoe UI" w:cs="Segoe UI"/>
          <w:color w:val="242424"/>
          <w:kern w:val="0"/>
          <w:sz w:val="23"/>
          <w:szCs w:val="23"/>
          <w14:ligatures w14:val="none"/>
        </w:rPr>
      </w:pPr>
      <w:r w:rsidRPr="000D44EF">
        <w:rPr>
          <w:rFonts w:ascii="FluentSystemIcons" w:eastAsia="Times New Roman" w:hAnsi="FluentSystemIcons" w:cs="Segoe UI"/>
          <w:color w:val="242424"/>
          <w:kern w:val="0"/>
          <w:sz w:val="30"/>
          <w:szCs w:val="30"/>
          <w:bdr w:val="none" w:sz="0" w:space="0" w:color="auto" w:frame="1"/>
          <w14:ligatures w14:val="none"/>
        </w:rPr>
        <w:t></w:t>
      </w:r>
    </w:p>
    <w:tbl>
      <w:tblPr>
        <w:tblW w:w="9360" w:type="dxa"/>
        <w:tblCellMar>
          <w:left w:w="0" w:type="dxa"/>
          <w:right w:w="0" w:type="dxa"/>
        </w:tblCellMar>
        <w:tblLook w:val="04A0" w:firstRow="1" w:lastRow="0" w:firstColumn="1" w:lastColumn="0" w:noHBand="0" w:noVBand="1"/>
      </w:tblPr>
      <w:tblGrid>
        <w:gridCol w:w="3200"/>
        <w:gridCol w:w="2160"/>
        <w:gridCol w:w="4000"/>
      </w:tblGrid>
      <w:tr w:rsidR="000D44EF" w:rsidRPr="000D44EF" w14:paraId="140294CC" w14:textId="77777777">
        <w:tc>
          <w:tcPr>
            <w:tcW w:w="3200" w:type="dxa"/>
            <w:tcBorders>
              <w:top w:val="single" w:sz="8" w:space="0" w:color="1B2E4B"/>
              <w:left w:val="single" w:sz="8" w:space="0" w:color="1B2E4B"/>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1C42CB91"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Component</w:t>
            </w:r>
          </w:p>
        </w:tc>
        <w:tc>
          <w:tcPr>
            <w:tcW w:w="216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49883060"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Amount</w:t>
            </w:r>
          </w:p>
        </w:tc>
        <w:tc>
          <w:tcPr>
            <w:tcW w:w="4000" w:type="dxa"/>
            <w:tcBorders>
              <w:top w:val="single" w:sz="8" w:space="0" w:color="1B2E4B"/>
              <w:left w:val="nil"/>
              <w:bottom w:val="single" w:sz="8" w:space="0" w:color="1B2E4B"/>
              <w:right w:val="single" w:sz="8" w:space="0" w:color="1B2E4B"/>
            </w:tcBorders>
            <w:shd w:val="clear" w:color="auto" w:fill="1B2E4B"/>
            <w:tcMar>
              <w:top w:w="80" w:type="dxa"/>
              <w:left w:w="120" w:type="dxa"/>
              <w:bottom w:w="80" w:type="dxa"/>
              <w:right w:w="120" w:type="dxa"/>
            </w:tcMar>
            <w:vAlign w:val="center"/>
            <w:hideMark/>
          </w:tcPr>
          <w:p w14:paraId="08B49D4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FFFFFF"/>
                <w:kern w:val="0"/>
                <w:sz w:val="20"/>
                <w:szCs w:val="20"/>
                <w:bdr w:val="none" w:sz="0" w:space="0" w:color="auto" w:frame="1"/>
                <w14:ligatures w14:val="none"/>
              </w:rPr>
              <w:t>Notes</w:t>
            </w:r>
          </w:p>
        </w:tc>
      </w:tr>
      <w:tr w:rsidR="000D44EF" w:rsidRPr="000D44EF" w14:paraId="348E67C6" w14:textId="77777777">
        <w:tc>
          <w:tcPr>
            <w:tcW w:w="32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42130E1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Average Pro engagement fee</w:t>
            </w:r>
          </w:p>
        </w:tc>
        <w:tc>
          <w:tcPr>
            <w:tcW w:w="216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7010096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$29,000</w:t>
            </w:r>
          </w:p>
        </w:tc>
        <w:tc>
          <w:tcPr>
            <w:tcW w:w="4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3245A31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Midpoint of $22K–$38K range</w:t>
            </w:r>
          </w:p>
        </w:tc>
      </w:tr>
      <w:tr w:rsidR="000D44EF" w:rsidRPr="000D44EF" w14:paraId="14C29F78" w14:textId="77777777">
        <w:tc>
          <w:tcPr>
            <w:tcW w:w="32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562FD62B"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COGS: Lead consultant (100 hrs × $80/hr burdened)</w:t>
            </w:r>
          </w:p>
        </w:tc>
        <w:tc>
          <w:tcPr>
            <w:tcW w:w="216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0438152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$(8,000)</w:t>
            </w:r>
          </w:p>
        </w:tc>
        <w:tc>
          <w:tcPr>
            <w:tcW w:w="4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7690315C"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Primary implementation oversight; client relationship</w:t>
            </w:r>
          </w:p>
        </w:tc>
      </w:tr>
      <w:tr w:rsidR="000D44EF" w:rsidRPr="000D44EF" w14:paraId="133B3D12" w14:textId="77777777">
        <w:tc>
          <w:tcPr>
            <w:tcW w:w="32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096C7A9D"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COGS: Data engineer (60 hrs × $70/hr burdened)</w:t>
            </w:r>
          </w:p>
        </w:tc>
        <w:tc>
          <w:tcPr>
            <w:tcW w:w="216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21A89F78"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$(4,200)</w:t>
            </w:r>
          </w:p>
        </w:tc>
        <w:tc>
          <w:tcPr>
            <w:tcW w:w="4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5CFA8E8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Bridge execution; pricebook builder QA</w:t>
            </w:r>
          </w:p>
        </w:tc>
      </w:tr>
      <w:tr w:rsidR="000D44EF" w:rsidRPr="000D44EF" w14:paraId="6F04181D" w14:textId="77777777">
        <w:tc>
          <w:tcPr>
            <w:tcW w:w="32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62A29575"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COGS: Travel (1 in-person tech training trip)</w:t>
            </w:r>
          </w:p>
        </w:tc>
        <w:tc>
          <w:tcPr>
            <w:tcW w:w="216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124C930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$(800)</w:t>
            </w:r>
          </w:p>
        </w:tc>
        <w:tc>
          <w:tcPr>
            <w:tcW w:w="4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1EB05D9D"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Flight + hotel; most clients are within driving distance</w:t>
            </w:r>
          </w:p>
        </w:tc>
      </w:tr>
      <w:tr w:rsidR="000D44EF" w:rsidRPr="000D44EF" w14:paraId="66F2A602" w14:textId="77777777">
        <w:tc>
          <w:tcPr>
            <w:tcW w:w="32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0B1E06B3"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COGS: AI/infra allocation</w:t>
            </w:r>
          </w:p>
        </w:tc>
        <w:tc>
          <w:tcPr>
            <w:tcW w:w="216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19F3C5BD"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$(600)</w:t>
            </w:r>
          </w:p>
        </w:tc>
        <w:tc>
          <w:tcPr>
            <w:tcW w:w="4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37F5ACC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Claude API, AWS, ServiceTitan API calls</w:t>
            </w:r>
          </w:p>
        </w:tc>
      </w:tr>
      <w:tr w:rsidR="000D44EF" w:rsidRPr="000D44EF" w14:paraId="5EF21C5E" w14:textId="77777777">
        <w:tc>
          <w:tcPr>
            <w:tcW w:w="32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05D798C3"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Total COGS</w:t>
            </w:r>
          </w:p>
        </w:tc>
        <w:tc>
          <w:tcPr>
            <w:tcW w:w="216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3B0C11E2"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$(13,600)</w:t>
            </w:r>
          </w:p>
        </w:tc>
        <w:tc>
          <w:tcPr>
            <w:tcW w:w="4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5916E8E9"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kern w:val="0"/>
                <w:sz w:val="20"/>
                <w:szCs w:val="20"/>
                <w:bdr w:val="none" w:sz="0" w:space="0" w:color="auto" w:frame="1"/>
                <w14:ligatures w14:val="none"/>
              </w:rPr>
              <w:t> </w:t>
            </w:r>
          </w:p>
        </w:tc>
      </w:tr>
      <w:tr w:rsidR="000D44EF" w:rsidRPr="000D44EF" w14:paraId="71A8BE28" w14:textId="77777777">
        <w:tc>
          <w:tcPr>
            <w:tcW w:w="3200" w:type="dxa"/>
            <w:tcBorders>
              <w:top w:val="nil"/>
              <w:left w:val="single" w:sz="8" w:space="0" w:color="auto"/>
              <w:bottom w:val="single" w:sz="8" w:space="0" w:color="auto"/>
              <w:right w:val="single" w:sz="8" w:space="0" w:color="auto"/>
            </w:tcBorders>
            <w:shd w:val="clear" w:color="auto" w:fill="FFFFFF"/>
            <w:tcMar>
              <w:top w:w="80" w:type="dxa"/>
              <w:left w:w="120" w:type="dxa"/>
              <w:bottom w:w="80" w:type="dxa"/>
              <w:right w:w="120" w:type="dxa"/>
            </w:tcMar>
            <w:hideMark/>
          </w:tcPr>
          <w:p w14:paraId="0937274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000000"/>
                <w:kern w:val="0"/>
                <w:sz w:val="20"/>
                <w:szCs w:val="20"/>
                <w:bdr w:val="none" w:sz="0" w:space="0" w:color="auto" w:frame="1"/>
                <w14:ligatures w14:val="none"/>
              </w:rPr>
              <w:t>Gross Profit per Engagement</w:t>
            </w:r>
          </w:p>
        </w:tc>
        <w:tc>
          <w:tcPr>
            <w:tcW w:w="216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23EB970E"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000000"/>
                <w:kern w:val="0"/>
                <w:sz w:val="20"/>
                <w:szCs w:val="20"/>
                <w:bdr w:val="none" w:sz="0" w:space="0" w:color="auto" w:frame="1"/>
                <w14:ligatures w14:val="none"/>
              </w:rPr>
              <w:t>$15,400</w:t>
            </w:r>
          </w:p>
        </w:tc>
        <w:tc>
          <w:tcPr>
            <w:tcW w:w="4000" w:type="dxa"/>
            <w:tcBorders>
              <w:top w:val="nil"/>
              <w:left w:val="nil"/>
              <w:bottom w:val="single" w:sz="8" w:space="0" w:color="auto"/>
              <w:right w:val="single" w:sz="8" w:space="0" w:color="auto"/>
            </w:tcBorders>
            <w:shd w:val="clear" w:color="auto" w:fill="FFFFFF"/>
            <w:tcMar>
              <w:top w:w="80" w:type="dxa"/>
              <w:left w:w="120" w:type="dxa"/>
              <w:bottom w:w="80" w:type="dxa"/>
              <w:right w:w="120" w:type="dxa"/>
            </w:tcMar>
            <w:hideMark/>
          </w:tcPr>
          <w:p w14:paraId="200EC503"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kern w:val="0"/>
                <w:sz w:val="20"/>
                <w:szCs w:val="20"/>
                <w:bdr w:val="none" w:sz="0" w:space="0" w:color="auto" w:frame="1"/>
                <w14:ligatures w14:val="none"/>
              </w:rPr>
              <w:t> </w:t>
            </w:r>
          </w:p>
        </w:tc>
      </w:tr>
      <w:tr w:rsidR="000D44EF" w:rsidRPr="000D44EF" w14:paraId="66DA6B6B" w14:textId="77777777">
        <w:tc>
          <w:tcPr>
            <w:tcW w:w="3200" w:type="dxa"/>
            <w:tcBorders>
              <w:top w:val="nil"/>
              <w:left w:val="single" w:sz="8" w:space="0" w:color="auto"/>
              <w:bottom w:val="single" w:sz="8" w:space="0" w:color="auto"/>
              <w:right w:val="single" w:sz="8" w:space="0" w:color="auto"/>
            </w:tcBorders>
            <w:shd w:val="clear" w:color="auto" w:fill="F4F2EE"/>
            <w:tcMar>
              <w:top w:w="80" w:type="dxa"/>
              <w:left w:w="120" w:type="dxa"/>
              <w:bottom w:w="80" w:type="dxa"/>
              <w:right w:w="120" w:type="dxa"/>
            </w:tcMar>
            <w:hideMark/>
          </w:tcPr>
          <w:p w14:paraId="7193FBF7"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000000"/>
                <w:kern w:val="0"/>
                <w:sz w:val="20"/>
                <w:szCs w:val="20"/>
                <w:bdr w:val="none" w:sz="0" w:space="0" w:color="auto" w:frame="1"/>
                <w14:ligatures w14:val="none"/>
              </w:rPr>
              <w:lastRenderedPageBreak/>
              <w:t>Gross Margin per Engagement</w:t>
            </w:r>
          </w:p>
        </w:tc>
        <w:tc>
          <w:tcPr>
            <w:tcW w:w="216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55362119"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b/>
                <w:bCs/>
                <w:color w:val="000000"/>
                <w:kern w:val="0"/>
                <w:sz w:val="20"/>
                <w:szCs w:val="20"/>
                <w:bdr w:val="none" w:sz="0" w:space="0" w:color="auto" w:frame="1"/>
                <w14:ligatures w14:val="none"/>
              </w:rPr>
              <w:t>53%</w:t>
            </w:r>
          </w:p>
        </w:tc>
        <w:tc>
          <w:tcPr>
            <w:tcW w:w="4000" w:type="dxa"/>
            <w:tcBorders>
              <w:top w:val="nil"/>
              <w:left w:val="nil"/>
              <w:bottom w:val="single" w:sz="8" w:space="0" w:color="auto"/>
              <w:right w:val="single" w:sz="8" w:space="0" w:color="auto"/>
            </w:tcBorders>
            <w:shd w:val="clear" w:color="auto" w:fill="F4F2EE"/>
            <w:tcMar>
              <w:top w:w="80" w:type="dxa"/>
              <w:left w:w="120" w:type="dxa"/>
              <w:bottom w:w="80" w:type="dxa"/>
              <w:right w:w="120" w:type="dxa"/>
            </w:tcMar>
            <w:hideMark/>
          </w:tcPr>
          <w:p w14:paraId="18A0AB5A" w14:textId="77777777" w:rsidR="000D44EF" w:rsidRPr="000D44EF" w:rsidRDefault="000D44EF" w:rsidP="000D44EF">
            <w:pPr>
              <w:spacing w:after="0" w:line="240" w:lineRule="auto"/>
              <w:rPr>
                <w:rFonts w:ascii="Aptos" w:eastAsia="Times New Roman" w:hAnsi="Aptos" w:cs="Times New Roman"/>
                <w:kern w:val="0"/>
                <w14:ligatures w14:val="none"/>
              </w:rPr>
            </w:pPr>
            <w:r w:rsidRPr="000D44EF">
              <w:rPr>
                <w:rFonts w:ascii="Calibri" w:eastAsia="Times New Roman" w:hAnsi="Calibri" w:cs="Calibri"/>
                <w:color w:val="000000"/>
                <w:kern w:val="0"/>
                <w:sz w:val="20"/>
                <w:szCs w:val="20"/>
                <w:bdr w:val="none" w:sz="0" w:space="0" w:color="auto" w:frame="1"/>
                <w14:ligatures w14:val="none"/>
              </w:rPr>
              <w:t>Improves to 60%+ as tooling matures and templates reduce hours</w:t>
            </w:r>
          </w:p>
        </w:tc>
      </w:tr>
    </w:tbl>
    <w:p w14:paraId="6457CBE6"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17362334"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 </w:t>
      </w:r>
    </w:p>
    <w:p w14:paraId="12F143E8"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w:t>
      </w:r>
    </w:p>
    <w:p w14:paraId="4CC6CFBB"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 </w:t>
      </w:r>
    </w:p>
    <w:p w14:paraId="021C1879"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GAPS</w:t>
      </w:r>
    </w:p>
    <w:p w14:paraId="0AE37DC7" w14:textId="77777777" w:rsidR="000D44EF" w:rsidRPr="000D44EF" w:rsidRDefault="000D44EF" w:rsidP="000D44EF">
      <w:pPr>
        <w:numPr>
          <w:ilvl w:val="0"/>
          <w:numId w:val="10"/>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Probably need (i) someone who has used ServiceTitan, (ii) someone who knows how HVAC works, (iii) someone who knows how accounting works</w:t>
      </w:r>
    </w:p>
    <w:p w14:paraId="545CE807"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 </w:t>
      </w:r>
    </w:p>
    <w:p w14:paraId="0B3E2FE0" w14:textId="77777777" w:rsidR="000D44EF" w:rsidRPr="000D44EF" w:rsidRDefault="000D44EF" w:rsidP="000D44EF">
      <w:pPr>
        <w:shd w:val="clear" w:color="auto" w:fill="FFFFFF"/>
        <w:spacing w:after="0" w:line="240" w:lineRule="auto"/>
        <w:rPr>
          <w:rFonts w:ascii="Aptos" w:eastAsia="Times New Roman" w:hAnsi="Aptos" w:cs="Times New Roman"/>
          <w:color w:val="242424"/>
          <w:kern w:val="0"/>
          <w14:ligatures w14:val="none"/>
        </w:rPr>
      </w:pPr>
      <w:r w:rsidRPr="000D44EF">
        <w:rPr>
          <w:rFonts w:ascii="Calibri" w:eastAsia="Times New Roman" w:hAnsi="Calibri" w:cs="Calibri"/>
          <w:b/>
          <w:bCs/>
          <w:color w:val="242424"/>
          <w:kern w:val="0"/>
          <w:sz w:val="20"/>
          <w:szCs w:val="20"/>
          <w:bdr w:val="none" w:sz="0" w:space="0" w:color="auto" w:frame="1"/>
          <w14:ligatures w14:val="none"/>
        </w:rPr>
        <w:t>Conversations to have</w:t>
      </w:r>
    </w:p>
    <w:p w14:paraId="6BBF58AC" w14:textId="77777777" w:rsidR="000D44EF" w:rsidRPr="000D44EF" w:rsidRDefault="000D44EF" w:rsidP="000D44EF">
      <w:pPr>
        <w:numPr>
          <w:ilvl w:val="0"/>
          <w:numId w:val="11"/>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HVAC business owners (LinkedIn)</w:t>
      </w:r>
    </w:p>
    <w:p w14:paraId="26B9B672" w14:textId="77777777" w:rsidR="000D44EF" w:rsidRPr="000D44EF" w:rsidRDefault="000D44EF" w:rsidP="000D44EF">
      <w:pPr>
        <w:numPr>
          <w:ilvl w:val="0"/>
          <w:numId w:val="11"/>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ServiceTitan employees</w:t>
      </w:r>
    </w:p>
    <w:p w14:paraId="3D9905E9" w14:textId="77777777" w:rsidR="000D44EF" w:rsidRPr="000D44EF" w:rsidRDefault="000D44EF" w:rsidP="000D44EF">
      <w:pPr>
        <w:numPr>
          <w:ilvl w:val="0"/>
          <w:numId w:val="11"/>
        </w:numPr>
        <w:shd w:val="clear" w:color="auto" w:fill="FFFFFF"/>
        <w:spacing w:after="0" w:line="240" w:lineRule="auto"/>
        <w:rPr>
          <w:rFonts w:ascii="Aptos" w:eastAsia="Times New Roman" w:hAnsi="Aptos" w:cs="Segoe UI"/>
          <w:color w:val="242424"/>
          <w:kern w:val="0"/>
          <w14:ligatures w14:val="none"/>
        </w:rPr>
      </w:pPr>
      <w:r w:rsidRPr="000D44EF">
        <w:rPr>
          <w:rFonts w:ascii="Calibri" w:eastAsia="Times New Roman" w:hAnsi="Calibri" w:cs="Calibri"/>
          <w:color w:val="242424"/>
          <w:kern w:val="0"/>
          <w:sz w:val="20"/>
          <w:szCs w:val="20"/>
          <w:bdr w:val="none" w:sz="0" w:space="0" w:color="auto" w:frame="1"/>
          <w14:ligatures w14:val="none"/>
        </w:rPr>
        <w:t>Phil more in depth</w:t>
      </w:r>
    </w:p>
    <w:p w14:paraId="48A98029" w14:textId="77777777" w:rsidR="00D74DE2" w:rsidRDefault="00D74DE2"/>
    <w:sectPr w:rsidR="00D74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luentSystemIcons">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97A"/>
    <w:multiLevelType w:val="multilevel"/>
    <w:tmpl w:val="165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76B4"/>
    <w:multiLevelType w:val="multilevel"/>
    <w:tmpl w:val="5D506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93622"/>
    <w:multiLevelType w:val="multilevel"/>
    <w:tmpl w:val="F238E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F471F"/>
    <w:multiLevelType w:val="multilevel"/>
    <w:tmpl w:val="529E03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82501"/>
    <w:multiLevelType w:val="multilevel"/>
    <w:tmpl w:val="80687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017F3"/>
    <w:multiLevelType w:val="multilevel"/>
    <w:tmpl w:val="16D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3656E"/>
    <w:multiLevelType w:val="multilevel"/>
    <w:tmpl w:val="FCEA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22587"/>
    <w:multiLevelType w:val="multilevel"/>
    <w:tmpl w:val="A6B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A7898"/>
    <w:multiLevelType w:val="multilevel"/>
    <w:tmpl w:val="70E46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497514"/>
    <w:multiLevelType w:val="multilevel"/>
    <w:tmpl w:val="9F8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6595C"/>
    <w:multiLevelType w:val="multilevel"/>
    <w:tmpl w:val="AAC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315472">
    <w:abstractNumId w:val="5"/>
  </w:num>
  <w:num w:numId="2" w16cid:durableId="1050149658">
    <w:abstractNumId w:val="0"/>
  </w:num>
  <w:num w:numId="3" w16cid:durableId="1259144103">
    <w:abstractNumId w:val="2"/>
  </w:num>
  <w:num w:numId="4" w16cid:durableId="1219434932">
    <w:abstractNumId w:val="6"/>
  </w:num>
  <w:num w:numId="5" w16cid:durableId="1318729907">
    <w:abstractNumId w:val="4"/>
  </w:num>
  <w:num w:numId="6" w16cid:durableId="437606211">
    <w:abstractNumId w:val="7"/>
  </w:num>
  <w:num w:numId="7" w16cid:durableId="191696096">
    <w:abstractNumId w:val="8"/>
  </w:num>
  <w:num w:numId="8" w16cid:durableId="1469318589">
    <w:abstractNumId w:val="1"/>
  </w:num>
  <w:num w:numId="9" w16cid:durableId="206837">
    <w:abstractNumId w:val="3"/>
  </w:num>
  <w:num w:numId="10" w16cid:durableId="1490830947">
    <w:abstractNumId w:val="9"/>
  </w:num>
  <w:num w:numId="11" w16cid:durableId="783771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EF"/>
    <w:rsid w:val="000D44EF"/>
    <w:rsid w:val="00372EB5"/>
    <w:rsid w:val="00465461"/>
    <w:rsid w:val="00D74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123CEB"/>
  <w15:chartTrackingRefBased/>
  <w15:docId w15:val="{37D8B30F-10CE-0549-B225-0C3223C9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EF"/>
    <w:rPr>
      <w:rFonts w:eastAsiaTheme="majorEastAsia" w:cstheme="majorBidi"/>
      <w:color w:val="272727" w:themeColor="text1" w:themeTint="D8"/>
    </w:rPr>
  </w:style>
  <w:style w:type="paragraph" w:styleId="Title">
    <w:name w:val="Title"/>
    <w:basedOn w:val="Normal"/>
    <w:next w:val="Normal"/>
    <w:link w:val="TitleChar"/>
    <w:uiPriority w:val="10"/>
    <w:qFormat/>
    <w:rsid w:val="000D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EF"/>
    <w:pPr>
      <w:spacing w:before="160"/>
      <w:jc w:val="center"/>
    </w:pPr>
    <w:rPr>
      <w:i/>
      <w:iCs/>
      <w:color w:val="404040" w:themeColor="text1" w:themeTint="BF"/>
    </w:rPr>
  </w:style>
  <w:style w:type="character" w:customStyle="1" w:styleId="QuoteChar">
    <w:name w:val="Quote Char"/>
    <w:basedOn w:val="DefaultParagraphFont"/>
    <w:link w:val="Quote"/>
    <w:uiPriority w:val="29"/>
    <w:rsid w:val="000D44EF"/>
    <w:rPr>
      <w:i/>
      <w:iCs/>
      <w:color w:val="404040" w:themeColor="text1" w:themeTint="BF"/>
    </w:rPr>
  </w:style>
  <w:style w:type="paragraph" w:styleId="ListParagraph">
    <w:name w:val="List Paragraph"/>
    <w:basedOn w:val="Normal"/>
    <w:uiPriority w:val="34"/>
    <w:qFormat/>
    <w:rsid w:val="000D44EF"/>
    <w:pPr>
      <w:ind w:left="720"/>
      <w:contextualSpacing/>
    </w:pPr>
  </w:style>
  <w:style w:type="character" w:styleId="IntenseEmphasis">
    <w:name w:val="Intense Emphasis"/>
    <w:basedOn w:val="DefaultParagraphFont"/>
    <w:uiPriority w:val="21"/>
    <w:qFormat/>
    <w:rsid w:val="000D44EF"/>
    <w:rPr>
      <w:i/>
      <w:iCs/>
      <w:color w:val="0F4761" w:themeColor="accent1" w:themeShade="BF"/>
    </w:rPr>
  </w:style>
  <w:style w:type="paragraph" w:styleId="IntenseQuote">
    <w:name w:val="Intense Quote"/>
    <w:basedOn w:val="Normal"/>
    <w:next w:val="Normal"/>
    <w:link w:val="IntenseQuoteChar"/>
    <w:uiPriority w:val="30"/>
    <w:qFormat/>
    <w:rsid w:val="000D4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4EF"/>
    <w:rPr>
      <w:i/>
      <w:iCs/>
      <w:color w:val="0F4761" w:themeColor="accent1" w:themeShade="BF"/>
    </w:rPr>
  </w:style>
  <w:style w:type="character" w:styleId="IntenseReference">
    <w:name w:val="Intense Reference"/>
    <w:basedOn w:val="DefaultParagraphFont"/>
    <w:uiPriority w:val="32"/>
    <w:qFormat/>
    <w:rsid w:val="000D44EF"/>
    <w:rPr>
      <w:b/>
      <w:bCs/>
      <w:smallCaps/>
      <w:color w:val="0F4761" w:themeColor="accent1" w:themeShade="BF"/>
      <w:spacing w:val="5"/>
    </w:rPr>
  </w:style>
  <w:style w:type="paragraph" w:styleId="NormalWeb">
    <w:name w:val="Normal (Web)"/>
    <w:basedOn w:val="Normal"/>
    <w:uiPriority w:val="99"/>
    <w:semiHidden/>
    <w:unhideWhenUsed/>
    <w:rsid w:val="000D44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buttonicon">
    <w:name w:val="fui-button__icon"/>
    <w:basedOn w:val="DefaultParagraphFont"/>
    <w:rsid w:val="000D4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2297</Words>
  <Characters>13094</Characters>
  <Application>Microsoft Office Word</Application>
  <DocSecurity>0</DocSecurity>
  <Lines>109</Lines>
  <Paragraphs>30</Paragraphs>
  <ScaleCrop>false</ScaleCrop>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Tananbaum</dc:creator>
  <cp:keywords/>
  <dc:description/>
  <cp:lastModifiedBy>Charles Tananbaum</cp:lastModifiedBy>
  <cp:revision>1</cp:revision>
  <dcterms:created xsi:type="dcterms:W3CDTF">2026-04-03T01:07:00Z</dcterms:created>
  <dcterms:modified xsi:type="dcterms:W3CDTF">2026-04-03T01:07:00Z</dcterms:modified>
</cp:coreProperties>
</file>