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Securities Proposal and Risk Mitigation Report</w:t>
      </w:r>
    </w:p>
    <w:p>
      <w:pPr>
        <w:pStyle w:val="Heading2"/>
      </w:pPr>
      <w:r>
        <w:t>Selected Scenario: Moderate Risk Taker</w:t>
      </w:r>
    </w:p>
    <w:p>
      <w:r>
        <w:t>Client Objective: Seeks both income and upside participation in coffee prices, with a moderate tolerance for risk.</w:t>
        <w:br/>
        <w:t>Recommended Product: Structured Notes</w:t>
      </w:r>
    </w:p>
    <w:p>
      <w:pPr>
        <w:pStyle w:val="Heading2"/>
      </w:pPr>
      <w:r>
        <w:t>Quantitative Model Used</w:t>
      </w:r>
    </w:p>
    <w:p>
      <w:r>
        <w:t>Pricing Model:</w:t>
      </w:r>
    </w:p>
    <w:p>
      <w:r>
        <w:t>P_n = F + α · (C_T - C_0)</w:t>
      </w:r>
    </w:p>
    <w:p>
      <w:r>
        <w:t>Where:</w:t>
        <w:br/>
        <w:t>- P_n is the price of the structured note,</w:t>
        <w:br/>
        <w:t>- F is the fixed income component,</w:t>
        <w:br/>
        <w:t>- α is the participation rate (exposure to coffee price movement),</w:t>
        <w:br/>
        <w:t>- C_T is the coffee price at maturity,</w:t>
        <w:br/>
        <w:t>- C_0 is the coffee price at issuance.</w:t>
      </w:r>
    </w:p>
    <w:p>
      <w:pPr>
        <w:pStyle w:val="Heading2"/>
      </w:pPr>
      <w:r>
        <w:t>Best Practice and Justification</w:t>
      </w:r>
    </w:p>
    <w:p>
      <w:r>
        <w:t xml:space="preserve">This model is ideal for a moderate-risk investor because it combines fixed returns with upside participation, while allowing control over exposure through the participation rate (α). </w:t>
        <w:br/>
        <w:t>By using this pricing model, we can simulate a wide range of coffee price outcomes using Monte Carlo techniques and adjust α accordingly to keep the note within the investor’s risk comfort zone.</w:t>
        <w:br/>
        <w:br/>
        <w:t>Key benefits:</w:t>
        <w:br/>
        <w:t>- Transparent pricing structure</w:t>
        <w:br/>
        <w:t>- Tunable exposure to market performance</w:t>
        <w:br/>
        <w:t>- Backtest and scenario flexibility</w:t>
        <w:br/>
        <w:t>- Partial or full capital protection depending on structure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