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38" w:rsidRPr="006D315E" w:rsidRDefault="006D315E">
      <w:pPr>
        <w:rPr>
          <w:b/>
        </w:rPr>
      </w:pPr>
      <w:r w:rsidRPr="006D315E">
        <w:rPr>
          <w:b/>
        </w:rPr>
        <w:t>BYE-LAW | TRUSTEE APPEALS</w:t>
      </w:r>
    </w:p>
    <w:p w:rsidR="006D315E" w:rsidRDefault="006D315E">
      <w:r>
        <w:t xml:space="preserve">Last updated: </w:t>
      </w:r>
      <w:r w:rsidR="00F6588D">
        <w:t>11</w:t>
      </w:r>
      <w:r w:rsidR="00F6588D" w:rsidRPr="00F6588D">
        <w:rPr>
          <w:vertAlign w:val="superscript"/>
        </w:rPr>
        <w:t>th</w:t>
      </w:r>
      <w:r w:rsidR="00F6588D">
        <w:t xml:space="preserve"> June 2015</w:t>
      </w:r>
    </w:p>
    <w:p w:rsidR="00780D86" w:rsidRPr="00780D86" w:rsidRDefault="00780D86" w:rsidP="00780D86">
      <w:pPr>
        <w:rPr>
          <w:b/>
        </w:rPr>
      </w:pPr>
      <w:r w:rsidRPr="00780D86">
        <w:rPr>
          <w:b/>
        </w:rPr>
        <w:t xml:space="preserve">Appeals </w:t>
      </w:r>
      <w:r>
        <w:rPr>
          <w:b/>
        </w:rPr>
        <w:t>Process</w:t>
      </w:r>
    </w:p>
    <w:p w:rsidR="00032701" w:rsidRDefault="00780D86" w:rsidP="00032701">
      <w:pPr>
        <w:pStyle w:val="ListParagraph"/>
        <w:numPr>
          <w:ilvl w:val="0"/>
          <w:numId w:val="1"/>
        </w:numPr>
      </w:pPr>
      <w:r w:rsidRPr="00780D86">
        <w:t xml:space="preserve">In accordance with </w:t>
      </w:r>
      <w:r>
        <w:t>A</w:t>
      </w:r>
      <w:r w:rsidR="00032701">
        <w:t>rticle 38</w:t>
      </w:r>
      <w:r w:rsidRPr="00780D86">
        <w:t xml:space="preserve">, a Trustee removed </w:t>
      </w:r>
      <w:r>
        <w:t>from their position</w:t>
      </w:r>
      <w:r w:rsidR="00032701">
        <w:t xml:space="preserve"> by the Board under Article 37</w:t>
      </w:r>
      <w:r w:rsidRPr="00780D86">
        <w:t xml:space="preserve"> </w:t>
      </w:r>
      <w:r>
        <w:t>is</w:t>
      </w:r>
      <w:r w:rsidRPr="00780D86">
        <w:t xml:space="preserve"> entitled to appeal the decision to remove </w:t>
      </w:r>
      <w:r>
        <w:t>them</w:t>
      </w:r>
      <w:r w:rsidR="00032701">
        <w:t xml:space="preserve">. </w:t>
      </w:r>
    </w:p>
    <w:p w:rsidR="00032701" w:rsidRPr="00780D86" w:rsidRDefault="00032701" w:rsidP="00032701">
      <w:pPr>
        <w:pStyle w:val="ListParagraph"/>
        <w:numPr>
          <w:ilvl w:val="0"/>
          <w:numId w:val="1"/>
        </w:numPr>
      </w:pPr>
      <w:r>
        <w:t>The administration of all functions of this Bye-Law shall be conducted by either the Union Director or another staff member designated by the Board (either person is jointly referred to in this Bye-Law as “the designated staff member”). The designated staff member may delegate</w:t>
      </w:r>
      <w:r w:rsidR="00975802">
        <w:t xml:space="preserve"> any of their functions under the Bye-Law </w:t>
      </w:r>
      <w:r>
        <w:t>to another staff member.</w:t>
      </w:r>
    </w:p>
    <w:p w:rsidR="00780D86" w:rsidRPr="00780D86" w:rsidRDefault="00032701" w:rsidP="00032701">
      <w:pPr>
        <w:pStyle w:val="ListParagraph"/>
        <w:numPr>
          <w:ilvl w:val="0"/>
          <w:numId w:val="1"/>
        </w:numPr>
      </w:pPr>
      <w:r>
        <w:t>An</w:t>
      </w:r>
      <w:r w:rsidR="00780D86" w:rsidRPr="00780D86">
        <w:t xml:space="preserve"> appeal </w:t>
      </w:r>
      <w:r>
        <w:t xml:space="preserve">will only be valid if </w:t>
      </w:r>
      <w:r w:rsidR="00975802">
        <w:t>notice</w:t>
      </w:r>
      <w:r>
        <w:t xml:space="preserve"> is </w:t>
      </w:r>
      <w:r w:rsidR="00975802">
        <w:t>given</w:t>
      </w:r>
      <w:r>
        <w:t xml:space="preserve"> </w:t>
      </w:r>
      <w:r w:rsidR="00780D86" w:rsidRPr="00780D86">
        <w:t xml:space="preserve">in writing </w:t>
      </w:r>
      <w:r w:rsidR="00780D86">
        <w:t>to</w:t>
      </w:r>
      <w:r w:rsidR="00780D86" w:rsidRPr="00780D86">
        <w:t xml:space="preserve"> the </w:t>
      </w:r>
      <w:r w:rsidR="00975802">
        <w:t>designated staff member</w:t>
      </w:r>
      <w:r w:rsidR="00780D86" w:rsidRPr="00780D86">
        <w:t xml:space="preserve"> not more than 14 days after the receipt of the written notice of the decision of the Trustees.</w:t>
      </w:r>
    </w:p>
    <w:p w:rsidR="00B94B19" w:rsidRPr="00780D86" w:rsidRDefault="00975802" w:rsidP="00B94B19">
      <w:pPr>
        <w:pStyle w:val="ListParagraph"/>
        <w:numPr>
          <w:ilvl w:val="0"/>
          <w:numId w:val="1"/>
        </w:numPr>
      </w:pPr>
      <w:r>
        <w:t>An</w:t>
      </w:r>
      <w:r w:rsidR="00780D86" w:rsidRPr="00780D86">
        <w:t xml:space="preserve"> appeal </w:t>
      </w:r>
      <w:r>
        <w:t>must</w:t>
      </w:r>
      <w:r w:rsidR="00780D86" w:rsidRPr="00780D86">
        <w:t xml:space="preserve"> contain a statement of the grounds upon which the appeal is brought and of the facts and matters relied upon.</w:t>
      </w:r>
      <w:r w:rsidR="00B94B19" w:rsidRPr="00B94B19">
        <w:t xml:space="preserve"> </w:t>
      </w:r>
      <w:r w:rsidR="00B94B19">
        <w:t>The appellant must present a case to answer and must present evidence either orally, or in writing or by calling witnesses.</w:t>
      </w:r>
    </w:p>
    <w:p w:rsidR="00780D86" w:rsidRDefault="00780D86" w:rsidP="00780D86">
      <w:pPr>
        <w:pStyle w:val="ListParagraph"/>
        <w:numPr>
          <w:ilvl w:val="0"/>
          <w:numId w:val="1"/>
        </w:numPr>
      </w:pPr>
      <w:r w:rsidRPr="00780D86">
        <w:t>If an appeal is lodged within time</w:t>
      </w:r>
      <w:r w:rsidR="00CF6FA6">
        <w:t>,</w:t>
      </w:r>
      <w:r w:rsidRPr="00780D86">
        <w:t xml:space="preserve"> the decision to dismiss the </w:t>
      </w:r>
      <w:r w:rsidR="00CF6FA6">
        <w:t>a</w:t>
      </w:r>
      <w:r w:rsidRPr="00780D86">
        <w:t xml:space="preserve">ppellant shall not take effect until the </w:t>
      </w:r>
      <w:r w:rsidR="00975802">
        <w:t>conclusion of the process set out in this Bye-Law</w:t>
      </w:r>
      <w:r w:rsidRPr="00780D86">
        <w:t>.</w:t>
      </w:r>
    </w:p>
    <w:p w:rsidR="007D059F" w:rsidRDefault="007D059F" w:rsidP="00780D86">
      <w:pPr>
        <w:pStyle w:val="ListParagraph"/>
        <w:numPr>
          <w:ilvl w:val="0"/>
          <w:numId w:val="1"/>
        </w:numPr>
      </w:pPr>
      <w:r>
        <w:t>The appellant may at any time withdraw their appeal, in which case all appeal proceedings shall immediately terminate.</w:t>
      </w:r>
      <w:r w:rsidR="005528C4">
        <w:t xml:space="preserve"> An appeal cannot be reinstated once it has been withdrawn.</w:t>
      </w:r>
    </w:p>
    <w:p w:rsidR="00780D86" w:rsidRPr="00780D86" w:rsidRDefault="00780D86" w:rsidP="00780D86">
      <w:pPr>
        <w:rPr>
          <w:b/>
        </w:rPr>
      </w:pPr>
      <w:r w:rsidRPr="00780D86">
        <w:rPr>
          <w:b/>
        </w:rPr>
        <w:t>Notification of hearing and exchange of information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</w:t>
      </w:r>
      <w:r w:rsidR="00CF6FA6">
        <w:t>a</w:t>
      </w:r>
      <w:r w:rsidRPr="00780D86">
        <w:t xml:space="preserve">ppellant </w:t>
      </w:r>
      <w:r w:rsidR="00975802">
        <w:t>must</w:t>
      </w:r>
      <w:r w:rsidRPr="00780D86">
        <w:t xml:space="preserve"> be given at least 21 days’ written notice of the date, time and place of </w:t>
      </w:r>
      <w:r>
        <w:t xml:space="preserve">the </w:t>
      </w:r>
      <w:r w:rsidRPr="00780D86">
        <w:t>appeal hearing.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>At least 14 days prior to the date of the hearing, the Appellant shall:</w:t>
      </w:r>
    </w:p>
    <w:p w:rsidR="00780D86" w:rsidRPr="00780D86" w:rsidRDefault="00780D86" w:rsidP="00B94B19">
      <w:pPr>
        <w:pStyle w:val="ListParagraph"/>
        <w:numPr>
          <w:ilvl w:val="1"/>
          <w:numId w:val="5"/>
        </w:numPr>
      </w:pPr>
      <w:r>
        <w:t>Confirm whether or not they intend</w:t>
      </w:r>
      <w:r w:rsidRPr="00780D86">
        <w:t xml:space="preserve"> to attend the hearing and, if so, the name of any person who will be accompan</w:t>
      </w:r>
      <w:r>
        <w:t>ying or representing them, and</w:t>
      </w:r>
    </w:p>
    <w:p w:rsidR="00780D86" w:rsidRPr="00780D86" w:rsidRDefault="00975802" w:rsidP="00B94B19">
      <w:pPr>
        <w:pStyle w:val="ListParagraph"/>
        <w:numPr>
          <w:ilvl w:val="1"/>
          <w:numId w:val="5"/>
        </w:numPr>
      </w:pPr>
      <w:r>
        <w:t>Provide any other evidence in addition to that made in their original notice of appeal if they wish to rely on this in the hearing</w:t>
      </w:r>
      <w:r w:rsidR="00780D86" w:rsidRPr="00780D86">
        <w:t>.</w:t>
      </w:r>
    </w:p>
    <w:p w:rsid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At least 7 days prior to the date of the hearing, the Union shall provide the </w:t>
      </w:r>
      <w:r w:rsidR="00CF6FA6">
        <w:t>a</w:t>
      </w:r>
      <w:r w:rsidRPr="00780D86">
        <w:t>ppellant with any further evidence which it wishes to rely upon.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>Neither party shall rely on any statement o</w:t>
      </w:r>
      <w:r w:rsidR="00CF6FA6">
        <w:t>r</w:t>
      </w:r>
      <w:r w:rsidRPr="00780D86">
        <w:t xml:space="preserve"> document </w:t>
      </w:r>
      <w:r w:rsidR="00CF6FA6">
        <w:t>that has not been provided in accordance with this Bye-Law, unless dispensation is given by the Appeals Panel</w:t>
      </w:r>
      <w:r w:rsidRPr="00780D86">
        <w:t>.</w:t>
      </w:r>
      <w:r w:rsidR="00CF6FA6">
        <w:t xml:space="preserve"> Any </w:t>
      </w:r>
      <w:proofErr w:type="gramStart"/>
      <w:r w:rsidR="00CF6FA6">
        <w:t>evidence</w:t>
      </w:r>
      <w:proofErr w:type="gramEnd"/>
      <w:r w:rsidR="00CF6FA6">
        <w:t xml:space="preserve"> </w:t>
      </w:r>
      <w:r w:rsidR="00445438">
        <w:t>submitted under</w:t>
      </w:r>
      <w:r w:rsidR="00CF6FA6">
        <w:t xml:space="preserve"> this clause must be provide</w:t>
      </w:r>
      <w:r w:rsidR="004710C4">
        <w:t>d to the other party in advance.</w:t>
      </w:r>
    </w:p>
    <w:p w:rsidR="00780D86" w:rsidRPr="00CF6FA6" w:rsidRDefault="00780D86" w:rsidP="00CF6FA6">
      <w:pPr>
        <w:rPr>
          <w:b/>
        </w:rPr>
      </w:pPr>
      <w:r w:rsidRPr="00CF6FA6">
        <w:rPr>
          <w:b/>
        </w:rPr>
        <w:t xml:space="preserve">Composition of the Appeals </w:t>
      </w:r>
      <w:r w:rsidR="0080300B">
        <w:rPr>
          <w:b/>
        </w:rPr>
        <w:t>Panel</w:t>
      </w:r>
    </w:p>
    <w:p w:rsid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</w:t>
      </w:r>
      <w:r w:rsidR="0080300B">
        <w:t>Appeals Panel</w:t>
      </w:r>
      <w:r w:rsidRPr="00780D86">
        <w:t xml:space="preserve"> shall be made up as constituted under Article </w:t>
      </w:r>
      <w:r w:rsidR="0080300B">
        <w:t>38, that is:</w:t>
      </w:r>
    </w:p>
    <w:p w:rsidR="0080300B" w:rsidRDefault="0080300B" w:rsidP="00B94B19">
      <w:pPr>
        <w:pStyle w:val="ListParagraph"/>
        <w:numPr>
          <w:ilvl w:val="1"/>
          <w:numId w:val="5"/>
        </w:numPr>
      </w:pPr>
      <w:r>
        <w:t>Two elected student representatives (who shall not be Officer Trustees);</w:t>
      </w:r>
    </w:p>
    <w:p w:rsidR="0080300B" w:rsidRDefault="0080300B" w:rsidP="00B94B19">
      <w:pPr>
        <w:pStyle w:val="ListParagraph"/>
        <w:numPr>
          <w:ilvl w:val="1"/>
          <w:numId w:val="5"/>
        </w:numPr>
      </w:pPr>
      <w:r>
        <w:t>A nominee of the University of Manchester;</w:t>
      </w:r>
    </w:p>
    <w:p w:rsidR="0080300B" w:rsidRDefault="0080300B" w:rsidP="00B94B19">
      <w:pPr>
        <w:pStyle w:val="ListParagraph"/>
        <w:numPr>
          <w:ilvl w:val="1"/>
          <w:numId w:val="5"/>
        </w:numPr>
      </w:pPr>
      <w:r>
        <w:t>An independent person nominated by NUS;</w:t>
      </w:r>
    </w:p>
    <w:p w:rsidR="0080300B" w:rsidRPr="00780D86" w:rsidRDefault="0080300B" w:rsidP="00B94B19">
      <w:pPr>
        <w:pStyle w:val="ListParagraph"/>
        <w:numPr>
          <w:ilvl w:val="1"/>
          <w:numId w:val="5"/>
        </w:numPr>
      </w:pPr>
      <w:r>
        <w:t>An independent person who is a student and who does not sit on any other Union Committee.</w:t>
      </w:r>
    </w:p>
    <w:p w:rsidR="0080300B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identity of </w:t>
      </w:r>
      <w:r w:rsidR="0080300B">
        <w:t>the student representatives and the independent student</w:t>
      </w:r>
      <w:r w:rsidRPr="00780D86">
        <w:t xml:space="preserve"> shall be decided by the NUS </w:t>
      </w:r>
      <w:r w:rsidR="0080300B">
        <w:t>nominee</w:t>
      </w:r>
      <w:r w:rsidRPr="00780D86">
        <w:t xml:space="preserve"> and </w:t>
      </w:r>
      <w:r w:rsidR="0080300B">
        <w:t xml:space="preserve">the </w:t>
      </w:r>
      <w:r w:rsidRPr="00780D86">
        <w:t>University</w:t>
      </w:r>
      <w:r w:rsidR="0080300B">
        <w:t xml:space="preserve"> nominee jointly.</w:t>
      </w:r>
      <w:r w:rsidRPr="00780D86">
        <w:t xml:space="preserve"> </w:t>
      </w:r>
    </w:p>
    <w:p w:rsidR="0080300B" w:rsidRPr="0080300B" w:rsidRDefault="0080300B" w:rsidP="00B94B19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No member of the panel</w:t>
      </w:r>
      <w:r w:rsidR="00780D86" w:rsidRPr="00780D86">
        <w:t xml:space="preserve"> should have had any substantive involvement in the matter under appeal.  Their relationship with the </w:t>
      </w:r>
      <w:r>
        <w:t>a</w:t>
      </w:r>
      <w:r w:rsidR="00780D86" w:rsidRPr="00780D86">
        <w:t>ppellant should not give rise to any conflict of interest.</w:t>
      </w:r>
    </w:p>
    <w:p w:rsidR="0080300B" w:rsidRPr="0080300B" w:rsidRDefault="0080300B" w:rsidP="00B94B19">
      <w:pPr>
        <w:pStyle w:val="ListParagraph"/>
        <w:numPr>
          <w:ilvl w:val="0"/>
          <w:numId w:val="1"/>
        </w:numPr>
        <w:rPr>
          <w:b/>
        </w:rPr>
      </w:pPr>
      <w:r>
        <w:t>A member of the Panel will be appointed as its Chair by the Panel.</w:t>
      </w:r>
    </w:p>
    <w:p w:rsidR="00780D86" w:rsidRPr="0080300B" w:rsidRDefault="002D7D6D" w:rsidP="0080300B">
      <w:pPr>
        <w:rPr>
          <w:b/>
        </w:rPr>
      </w:pPr>
      <w:r>
        <w:rPr>
          <w:b/>
        </w:rPr>
        <w:t>Representatives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</w:t>
      </w:r>
      <w:r w:rsidR="0080300B">
        <w:t>a</w:t>
      </w:r>
      <w:r w:rsidRPr="00780D86">
        <w:t>ppellant</w:t>
      </w:r>
      <w:r w:rsidR="00B94B19">
        <w:t xml:space="preserve"> and respondent are</w:t>
      </w:r>
      <w:r w:rsidRPr="00780D86">
        <w:t xml:space="preserve"> entitled to be accompanied or represented by one other person of his or her own choice except where, in the opinion of the Chair of the </w:t>
      </w:r>
      <w:r w:rsidR="0080300B">
        <w:t>Appeals Panel</w:t>
      </w:r>
      <w:r w:rsidRPr="00780D86">
        <w:t>, such person has a conflict of interest.</w:t>
      </w:r>
    </w:p>
    <w:p w:rsidR="006811A7" w:rsidRPr="00780D86" w:rsidRDefault="006811A7" w:rsidP="00B94B19">
      <w:pPr>
        <w:pStyle w:val="ListParagraph"/>
        <w:numPr>
          <w:ilvl w:val="0"/>
          <w:numId w:val="1"/>
        </w:numPr>
      </w:pPr>
      <w:r>
        <w:t>The representative of a party may do anything that may be done by a party.</w:t>
      </w:r>
    </w:p>
    <w:p w:rsidR="00780D86" w:rsidRPr="0080300B" w:rsidRDefault="00AF7207" w:rsidP="0080300B">
      <w:pPr>
        <w:rPr>
          <w:b/>
        </w:rPr>
      </w:pPr>
      <w:r>
        <w:rPr>
          <w:b/>
        </w:rPr>
        <w:t>Objective and procedure</w:t>
      </w:r>
      <w:r w:rsidR="00780D86" w:rsidRPr="0080300B">
        <w:rPr>
          <w:b/>
        </w:rPr>
        <w:t xml:space="preserve"> </w:t>
      </w:r>
      <w:r w:rsidR="006811A7">
        <w:rPr>
          <w:b/>
        </w:rPr>
        <w:t>of</w:t>
      </w:r>
      <w:r w:rsidR="00780D86" w:rsidRPr="0080300B">
        <w:rPr>
          <w:b/>
        </w:rPr>
        <w:t xml:space="preserve"> the </w:t>
      </w:r>
      <w:r w:rsidR="0080300B">
        <w:rPr>
          <w:b/>
        </w:rPr>
        <w:t>Appeals Panel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The function of the appeals procedure is to ensure that a decision to remove a person as a Trustee is: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Made on the basis of relevant factors (and not on irrelevant factors),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 xml:space="preserve">Reasonable, and 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Free from procedural irregularity.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The over-riding objective of the appeals procedure is to enable appeals to be dealt with fairly, justly and free of bias.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Dealing with a case fairly and justly includes: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Avoiding unnecessary formality and seeking flexibility in proceedings,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Ensuring as far as practicable that all are able to participate fully in proceedings, and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Avoiding delay, so far as is compatible with properly considering the issues.</w:t>
      </w:r>
    </w:p>
    <w:p w:rsidR="00845B8C" w:rsidRDefault="00845B8C" w:rsidP="00AF7207">
      <w:pPr>
        <w:pStyle w:val="ListParagraph"/>
        <w:numPr>
          <w:ilvl w:val="0"/>
          <w:numId w:val="1"/>
        </w:numPr>
        <w:spacing w:before="240" w:after="60"/>
      </w:pPr>
      <w:r>
        <w:t>The panel must seek to advance its over-riding objective in following this Bye-Law and exercising its powers, and the parties must help further the over-riding objective and cooperate with the panel generally.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 xml:space="preserve">The Chair may regulate procedure and give guidance as to the conduct or disposal of proceedings, subject to this </w:t>
      </w:r>
      <w:r w:rsidR="00D07ED6">
        <w:t>Bye-Law</w:t>
      </w:r>
      <w:r>
        <w:t>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In particular, the Chair may: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Adjourn or postpone a hearing;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Permit the amendment or correction of documents;</w:t>
      </w:r>
    </w:p>
    <w:p w:rsidR="00AF7207" w:rsidRDefault="00AF7207" w:rsidP="007A064E">
      <w:pPr>
        <w:pStyle w:val="ListParagraph"/>
        <w:numPr>
          <w:ilvl w:val="1"/>
          <w:numId w:val="1"/>
        </w:numPr>
        <w:spacing w:before="240" w:after="60"/>
      </w:pPr>
      <w:r>
        <w:t>Require a party to produce evidence or information.</w:t>
      </w:r>
    </w:p>
    <w:p w:rsidR="00780D86" w:rsidRPr="00AD3BA5" w:rsidRDefault="00780D86" w:rsidP="00AD3BA5">
      <w:pPr>
        <w:rPr>
          <w:b/>
        </w:rPr>
      </w:pPr>
      <w:r w:rsidRPr="00AD3BA5">
        <w:rPr>
          <w:b/>
        </w:rPr>
        <w:t xml:space="preserve">Course of action which the </w:t>
      </w:r>
      <w:r w:rsidR="0080300B" w:rsidRPr="00AD3BA5">
        <w:rPr>
          <w:b/>
        </w:rPr>
        <w:t>Appeals Panel</w:t>
      </w:r>
      <w:r w:rsidRPr="00AD3BA5">
        <w:rPr>
          <w:b/>
        </w:rPr>
        <w:t xml:space="preserve"> may take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course of action which the </w:t>
      </w:r>
      <w:r w:rsidR="0080300B">
        <w:t>Appeals Panel</w:t>
      </w:r>
      <w:r w:rsidRPr="00780D86">
        <w:t xml:space="preserve"> may take are:</w:t>
      </w:r>
    </w:p>
    <w:p w:rsidR="00780D86" w:rsidRPr="00780D86" w:rsidRDefault="00780D86" w:rsidP="007A064E">
      <w:pPr>
        <w:pStyle w:val="ListParagraph"/>
        <w:numPr>
          <w:ilvl w:val="0"/>
          <w:numId w:val="7"/>
        </w:numPr>
      </w:pPr>
      <w:r w:rsidRPr="00780D86">
        <w:t>To uphold the appeal</w:t>
      </w:r>
      <w:r w:rsidR="00AF7207">
        <w:t>, in which case the appellant will be removed as a Trustee</w:t>
      </w:r>
      <w:r w:rsidRPr="00780D86">
        <w:t>; or</w:t>
      </w:r>
    </w:p>
    <w:p w:rsidR="00780D86" w:rsidRPr="00780D86" w:rsidRDefault="00780D86" w:rsidP="007A064E">
      <w:pPr>
        <w:pStyle w:val="ListParagraph"/>
        <w:numPr>
          <w:ilvl w:val="0"/>
          <w:numId w:val="7"/>
        </w:numPr>
      </w:pPr>
      <w:r w:rsidRPr="00780D86">
        <w:t>To reject the appeal</w:t>
      </w:r>
      <w:r w:rsidR="00AF7207">
        <w:t>, in which case the appellant will remain as a Trustee.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Within seven days, the </w:t>
      </w:r>
      <w:r w:rsidR="00AF7207">
        <w:t>designated staff member</w:t>
      </w:r>
      <w:r w:rsidRPr="00780D86">
        <w:t xml:space="preserve"> will notify the Appellant in writing of the decision of the </w:t>
      </w:r>
      <w:r w:rsidR="0080300B">
        <w:t>Appeals Panel</w:t>
      </w:r>
      <w:r w:rsidRPr="00780D86">
        <w:t>.</w:t>
      </w:r>
    </w:p>
    <w:p w:rsidR="00780D86" w:rsidRPr="00AD3BA5" w:rsidRDefault="007238FB" w:rsidP="00AD3BA5">
      <w:pPr>
        <w:rPr>
          <w:b/>
        </w:rPr>
      </w:pPr>
      <w:r>
        <w:rPr>
          <w:b/>
        </w:rPr>
        <w:t>Conduct of</w:t>
      </w:r>
      <w:r w:rsidR="00780D86" w:rsidRPr="00AD3BA5">
        <w:rPr>
          <w:b/>
        </w:rPr>
        <w:t xml:space="preserve"> </w:t>
      </w:r>
      <w:r>
        <w:rPr>
          <w:b/>
        </w:rPr>
        <w:t>a</w:t>
      </w:r>
      <w:r w:rsidR="00780D86" w:rsidRPr="00AD3BA5">
        <w:rPr>
          <w:b/>
        </w:rPr>
        <w:t>ppellant</w:t>
      </w:r>
    </w:p>
    <w:p w:rsidR="00AD3BA5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If at the Appeal hearing, the </w:t>
      </w:r>
      <w:r w:rsidR="007238FB">
        <w:t>a</w:t>
      </w:r>
      <w:r w:rsidRPr="00780D86">
        <w:t xml:space="preserve">ppellant is not present or represented, the </w:t>
      </w:r>
      <w:r w:rsidR="0080300B">
        <w:t>Appeals Panel</w:t>
      </w:r>
      <w:r w:rsidRPr="00780D86">
        <w:t xml:space="preserve"> may proceed to consider the matter in the </w:t>
      </w:r>
      <w:r w:rsidR="007238FB">
        <w:t>a</w:t>
      </w:r>
      <w:r w:rsidRPr="00780D86">
        <w:t xml:space="preserve">ppellant’s absence if it is satisfied that notice was properly served upon </w:t>
      </w:r>
      <w:r w:rsidR="00F6588D">
        <w:t>them</w:t>
      </w:r>
      <w:r w:rsidR="007238FB">
        <w:t xml:space="preserve"> in accordance with this Bye-Law.</w:t>
      </w:r>
    </w:p>
    <w:p w:rsidR="007238FB" w:rsidRDefault="007238FB" w:rsidP="007238FB">
      <w:pPr>
        <w:pStyle w:val="ListParagraph"/>
        <w:numPr>
          <w:ilvl w:val="0"/>
          <w:numId w:val="1"/>
        </w:numPr>
        <w:spacing w:before="240" w:after="60"/>
      </w:pPr>
      <w:r>
        <w:lastRenderedPageBreak/>
        <w:t>The proceedings of the Panel will be struck out automatically if the appellant fails to comply with a direction from the Panel which stated that failure to comply with the direction would lead to dismissal.</w:t>
      </w:r>
    </w:p>
    <w:p w:rsidR="007238FB" w:rsidRDefault="007238FB" w:rsidP="007238FB">
      <w:pPr>
        <w:pStyle w:val="ListParagraph"/>
        <w:numPr>
          <w:ilvl w:val="0"/>
          <w:numId w:val="1"/>
        </w:numPr>
        <w:spacing w:before="240" w:after="60"/>
      </w:pPr>
      <w:r>
        <w:t>The Panel may decide to strike out its proceedings if:</w:t>
      </w:r>
    </w:p>
    <w:p w:rsidR="007238FB" w:rsidRDefault="007238FB" w:rsidP="007238FB">
      <w:pPr>
        <w:pStyle w:val="ListParagraph"/>
        <w:numPr>
          <w:ilvl w:val="1"/>
          <w:numId w:val="1"/>
        </w:numPr>
        <w:spacing w:before="240" w:after="60"/>
      </w:pPr>
      <w:r>
        <w:t>The appellant has failed to comply with a direction from the Panel which stated that failure to comply with the direction might lead to dismissal, or</w:t>
      </w:r>
    </w:p>
    <w:p w:rsidR="007238FB" w:rsidRDefault="007238FB" w:rsidP="007238FB">
      <w:pPr>
        <w:pStyle w:val="ListParagraph"/>
        <w:numPr>
          <w:ilvl w:val="1"/>
          <w:numId w:val="1"/>
        </w:numPr>
        <w:spacing w:before="240" w:after="60"/>
      </w:pPr>
      <w:r>
        <w:t>The appellant has failed to co-operate with the Appeals Panel to such an extent that the proceedings cannot be dealt with fairly and justly.</w:t>
      </w:r>
    </w:p>
    <w:p w:rsidR="00780D86" w:rsidRPr="00AD3BA5" w:rsidRDefault="00162BCD" w:rsidP="00AD3BA5">
      <w:pPr>
        <w:rPr>
          <w:b/>
        </w:rPr>
      </w:pPr>
      <w:r>
        <w:rPr>
          <w:b/>
        </w:rPr>
        <w:t>Procedure at hearings</w:t>
      </w:r>
    </w:p>
    <w:p w:rsid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order of proceedings for </w:t>
      </w:r>
      <w:r w:rsidR="00162BCD">
        <w:t>an</w:t>
      </w:r>
      <w:r w:rsidRPr="00780D86">
        <w:t xml:space="preserve"> </w:t>
      </w:r>
      <w:r w:rsidR="0080300B">
        <w:t>Appeals Panel</w:t>
      </w:r>
      <w:r w:rsidRPr="00780D86">
        <w:t xml:space="preserve"> </w:t>
      </w:r>
      <w:r w:rsidR="00162BCD">
        <w:t>hearing</w:t>
      </w:r>
      <w:r w:rsidRPr="00780D86">
        <w:t>, unless the Chair otherwise directs, will be as follows: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Submissions by or on behalf of the appellant;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Submissions by or on behalf of the respondent;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Consideration of the evidence by the Panel;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Closing submissions by or on behalf of the appellant;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Closing submissions by or on behalf of the respondent.</w:t>
      </w:r>
    </w:p>
    <w:p w:rsidR="00E41774" w:rsidRPr="00780D86" w:rsidRDefault="00E41774" w:rsidP="00E41774">
      <w:pPr>
        <w:pStyle w:val="ListParagraph"/>
        <w:numPr>
          <w:ilvl w:val="0"/>
          <w:numId w:val="1"/>
        </w:numPr>
      </w:pPr>
      <w:r>
        <w:t xml:space="preserve">Minutes will be kept of all </w:t>
      </w:r>
      <w:r w:rsidR="00162BCD">
        <w:t>hearings</w:t>
      </w:r>
      <w:r>
        <w:t xml:space="preserve"> held by the Appeals Panel.</w:t>
      </w:r>
    </w:p>
    <w:p w:rsidR="00B94B19" w:rsidRPr="00B94B19" w:rsidRDefault="00B94B19" w:rsidP="00B94B19">
      <w:pPr>
        <w:spacing w:before="240" w:after="60"/>
        <w:rPr>
          <w:b/>
        </w:rPr>
      </w:pPr>
      <w:r w:rsidRPr="00B94B19">
        <w:rPr>
          <w:b/>
        </w:rPr>
        <w:t>Interpretation and definitions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“Appellant” means the person who has applied for an appeal against the decision of the Board to remove them as a Trustee.</w:t>
      </w:r>
    </w:p>
    <w:p w:rsidR="009765D2" w:rsidRDefault="009765D2" w:rsidP="009765D2">
      <w:pPr>
        <w:pStyle w:val="ListParagraph"/>
        <w:numPr>
          <w:ilvl w:val="0"/>
          <w:numId w:val="1"/>
        </w:numPr>
        <w:spacing w:before="240" w:after="60"/>
      </w:pPr>
      <w:r>
        <w:t>“Chair” means the Chair of the Appeals Panel.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 xml:space="preserve">“Party” means either the appellant or the respondent, and “parties” means both the appellant and the </w:t>
      </w:r>
      <w:r w:rsidR="00CB6F32">
        <w:t>respondent</w:t>
      </w:r>
      <w:r>
        <w:t>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“Panel” refers to the Appeals Panel constituted under this Bye-Law.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“Respondent” means the Chair of the Board of Trustees or another Trustee who represents the Board and is defending their decision to remove the appellant as a Trustee.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References to a party include a representative of that party.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Any clerical mistake or other accidental slip or omission shall not invalidate proceedings or a decision of the Panel.</w:t>
      </w:r>
    </w:p>
    <w:p w:rsidR="00515F62" w:rsidRDefault="00515F62" w:rsidP="009765D2">
      <w:pPr>
        <w:pStyle w:val="ListParagraph"/>
        <w:numPr>
          <w:ilvl w:val="0"/>
          <w:numId w:val="1"/>
        </w:numPr>
        <w:spacing w:before="240" w:after="60"/>
      </w:pPr>
      <w:r>
        <w:t xml:space="preserve">Any reference to </w:t>
      </w:r>
      <w:r w:rsidR="000270A5">
        <w:t>‘</w:t>
      </w:r>
      <w:r>
        <w:t>days</w:t>
      </w:r>
      <w:r w:rsidR="003F6CD7">
        <w:t>’</w:t>
      </w:r>
      <w:r>
        <w:t xml:space="preserve"> means calendar days </w:t>
      </w:r>
      <w:r w:rsidR="00F73301">
        <w:t xml:space="preserve">and </w:t>
      </w:r>
      <w:r>
        <w:t>not working days.</w:t>
      </w:r>
    </w:p>
    <w:p w:rsidR="00B94B19" w:rsidRDefault="00B94B19" w:rsidP="00B94B19"/>
    <w:p w:rsidR="00F6588D" w:rsidRDefault="00F6588D" w:rsidP="00F6588D">
      <w:pPr>
        <w:pStyle w:val="NoSpacing"/>
      </w:pPr>
      <w:r>
        <w:t>Approved by Trustee Board on 21.11.2015</w:t>
      </w:r>
    </w:p>
    <w:p w:rsidR="00F6588D" w:rsidRDefault="00F6588D" w:rsidP="00F6588D">
      <w:pPr>
        <w:pStyle w:val="NoSpacing"/>
      </w:pPr>
      <w:r>
        <w:t>Amended by Union Assembly on 11.06.2015</w:t>
      </w:r>
      <w:bookmarkStart w:id="0" w:name="_GoBack"/>
      <w:bookmarkEnd w:id="0"/>
    </w:p>
    <w:sectPr w:rsidR="00F6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1FB"/>
    <w:multiLevelType w:val="hybridMultilevel"/>
    <w:tmpl w:val="533EEC8E"/>
    <w:lvl w:ilvl="0" w:tplc="B51EE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944"/>
    <w:multiLevelType w:val="hybridMultilevel"/>
    <w:tmpl w:val="F05EEA40"/>
    <w:lvl w:ilvl="0" w:tplc="B51EE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E6F31"/>
    <w:multiLevelType w:val="hybridMultilevel"/>
    <w:tmpl w:val="12BC3C70"/>
    <w:lvl w:ilvl="0" w:tplc="58DA0DC2">
      <w:start w:val="1"/>
      <w:numFmt w:val="decimal"/>
      <w:lvlText w:val="%1."/>
      <w:lvlJc w:val="left"/>
      <w:pPr>
        <w:ind w:left="-7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1B431C96"/>
    <w:multiLevelType w:val="hybridMultilevel"/>
    <w:tmpl w:val="0EE009D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8A724E"/>
    <w:multiLevelType w:val="multilevel"/>
    <w:tmpl w:val="AC92D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41678C3"/>
    <w:multiLevelType w:val="hybridMultilevel"/>
    <w:tmpl w:val="48C8A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D3578"/>
    <w:multiLevelType w:val="hybridMultilevel"/>
    <w:tmpl w:val="0EE009D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B047D"/>
    <w:multiLevelType w:val="multilevel"/>
    <w:tmpl w:val="AC92D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5E"/>
    <w:rsid w:val="000270A5"/>
    <w:rsid w:val="00032701"/>
    <w:rsid w:val="00046138"/>
    <w:rsid w:val="00162BCD"/>
    <w:rsid w:val="002D7D6D"/>
    <w:rsid w:val="003F6CD7"/>
    <w:rsid w:val="00445438"/>
    <w:rsid w:val="004710C4"/>
    <w:rsid w:val="00515F62"/>
    <w:rsid w:val="00543772"/>
    <w:rsid w:val="005528C4"/>
    <w:rsid w:val="006811A7"/>
    <w:rsid w:val="006D315E"/>
    <w:rsid w:val="007238FB"/>
    <w:rsid w:val="00780D86"/>
    <w:rsid w:val="007A064E"/>
    <w:rsid w:val="007D059F"/>
    <w:rsid w:val="0080300B"/>
    <w:rsid w:val="00845B8C"/>
    <w:rsid w:val="008C49BA"/>
    <w:rsid w:val="00975802"/>
    <w:rsid w:val="009765D2"/>
    <w:rsid w:val="00AB0EB9"/>
    <w:rsid w:val="00AD3BA5"/>
    <w:rsid w:val="00AF7207"/>
    <w:rsid w:val="00B94B19"/>
    <w:rsid w:val="00CB6F32"/>
    <w:rsid w:val="00CF6FA6"/>
    <w:rsid w:val="00D07ED6"/>
    <w:rsid w:val="00E3574F"/>
    <w:rsid w:val="00E41774"/>
    <w:rsid w:val="00F14673"/>
    <w:rsid w:val="00F6588D"/>
    <w:rsid w:val="00F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5E"/>
    <w:pPr>
      <w:ind w:left="720"/>
      <w:contextualSpacing/>
    </w:pPr>
  </w:style>
  <w:style w:type="paragraph" w:styleId="NoSpacing">
    <w:name w:val="No Spacing"/>
    <w:uiPriority w:val="1"/>
    <w:qFormat/>
    <w:rsid w:val="00F658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5E"/>
    <w:pPr>
      <w:ind w:left="720"/>
      <w:contextualSpacing/>
    </w:pPr>
  </w:style>
  <w:style w:type="paragraph" w:styleId="NoSpacing">
    <w:name w:val="No Spacing"/>
    <w:uiPriority w:val="1"/>
    <w:qFormat/>
    <w:rsid w:val="00F658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3</cp:revision>
  <dcterms:created xsi:type="dcterms:W3CDTF">2014-12-03T13:40:00Z</dcterms:created>
  <dcterms:modified xsi:type="dcterms:W3CDTF">2015-06-15T11:43:00Z</dcterms:modified>
</cp:coreProperties>
</file>