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2DE9" w14:textId="77777777" w:rsidR="00E76A90" w:rsidRDefault="00000000">
      <w:pPr>
        <w:spacing w:after="4" w:line="261" w:lineRule="auto"/>
        <w:jc w:val="center"/>
      </w:pPr>
      <w:r>
        <w:rPr>
          <w:sz w:val="34"/>
        </w:rPr>
        <w:t>Summary Plan: BHR_71, HH_212, IRAS_0416+2706,</w:t>
      </w:r>
    </w:p>
    <w:p w14:paraId="0DE63FA7" w14:textId="77777777" w:rsidR="00E76A90" w:rsidRDefault="00000000">
      <w:pPr>
        <w:spacing w:after="307" w:line="261" w:lineRule="auto"/>
        <w:jc w:val="center"/>
      </w:pPr>
      <w:r>
        <w:rPr>
          <w:sz w:val="34"/>
        </w:rPr>
        <w:t>L1551_IRS_5, CG_30, HH_46, GAL_331.5-00.1, IRAS_04166+2706</w:t>
      </w:r>
    </w:p>
    <w:p w14:paraId="5524B4D2" w14:textId="77777777" w:rsidR="00E76A90" w:rsidRDefault="00000000">
      <w:pPr>
        <w:spacing w:after="663" w:line="259" w:lineRule="auto"/>
        <w:ind w:left="0" w:firstLine="0"/>
        <w:jc w:val="center"/>
      </w:pPr>
      <w:r>
        <w:rPr>
          <w:sz w:val="24"/>
        </w:rPr>
        <w:t>ALMA Thesis Planner (automated pipeline)</w:t>
      </w:r>
    </w:p>
    <w:p w14:paraId="7C39BD3E" w14:textId="77777777" w:rsidR="00E76A90" w:rsidRDefault="00000000">
      <w:pPr>
        <w:pStyle w:val="Heading1"/>
        <w:ind w:left="-5"/>
      </w:pPr>
      <w:r>
        <w:t>0.1</w:t>
      </w:r>
      <w:r>
        <w:tab/>
        <w:t>Idea 0.2</w:t>
      </w:r>
      <w:r>
        <w:tab/>
        <w:t>A uniform two-transition SiO excitation study of the inner outflow regions in the SMORES ACA survey (2017.1.01053.S)</w:t>
      </w:r>
    </w:p>
    <w:p w14:paraId="4E1DF560" w14:textId="77777777" w:rsidR="00E76A90" w:rsidRDefault="00000000">
      <w:pPr>
        <w:ind w:left="-5"/>
      </w:pPr>
      <w:r>
        <w:rPr>
          <w:b/>
        </w:rPr>
        <w:t xml:space="preserve">One-sentence question. </w:t>
      </w:r>
      <w:r>
        <w:t>Across the seven SMORES outflows, does SiO emission arise from a kinematically distinct, more highly excited gas component than the bulk CO-traced entrained outflow — and does the SiO excitation temperature and column density vary systematically with a self-measured outflow property (maximum CO velocity extent) rather than with externally assumed source ages?</w:t>
      </w:r>
    </w:p>
    <w:p w14:paraId="6E5B3578" w14:textId="77777777" w:rsidR="00E76A90" w:rsidRDefault="00000000">
      <w:pPr>
        <w:ind w:left="-5"/>
      </w:pPr>
      <w:r>
        <w:rPr>
          <w:b/>
        </w:rPr>
        <w:t xml:space="preserve">Why </w:t>
      </w:r>
      <w:proofErr w:type="gramStart"/>
      <w:r>
        <w:rPr>
          <w:b/>
        </w:rPr>
        <w:t>this is</w:t>
      </w:r>
      <w:proofErr w:type="gramEnd"/>
      <w:r>
        <w:rPr>
          <w:b/>
        </w:rPr>
        <w:t xml:space="preserve"> the tractable core of the dataset. </w:t>
      </w:r>
      <w:r>
        <w:t xml:space="preserve">The proposal’s headline claim is </w:t>
      </w:r>
      <w:proofErr w:type="spellStart"/>
      <w:r>
        <w:t>spatiochemical</w:t>
      </w:r>
      <w:proofErr w:type="spellEnd"/>
      <w:r>
        <w:t xml:space="preserve"> differentiation between jet, shocked wall, and ambient gas. A full test of that claim across 5 tunings </w:t>
      </w:r>
      <w:r>
        <w:rPr>
          <w:rFonts w:ascii="Cambria" w:eastAsia="Cambria" w:hAnsi="Cambria" w:cs="Cambria"/>
        </w:rPr>
        <w:t xml:space="preserve">× </w:t>
      </w:r>
      <w:r>
        <w:t xml:space="preserve">42 member-OUS rows </w:t>
      </w:r>
      <w:r>
        <w:rPr>
          <w:rFonts w:ascii="Cambria" w:eastAsia="Cambria" w:hAnsi="Cambria" w:cs="Cambria"/>
        </w:rPr>
        <w:t xml:space="preserve">× </w:t>
      </w:r>
      <w:r>
        <w:t xml:space="preserve">dozens of species is a multi-year paper. But the survey happens to contain </w:t>
      </w:r>
      <w:r>
        <w:rPr>
          <w:i/>
        </w:rPr>
        <w:t xml:space="preserve">two </w:t>
      </w:r>
      <w:r>
        <w:t xml:space="preserve">transitions of the same shock tracer — the annotation lists </w:t>
      </w:r>
      <w:r>
        <w:rPr>
          <w:b/>
        </w:rPr>
        <w:t xml:space="preserve">SiO J=7–6 at 303.927 GHz </w:t>
      </w:r>
      <w:r>
        <w:t xml:space="preserve">(falling in the 302.0–304.0 GHz window) and </w:t>
      </w:r>
      <w:r>
        <w:rPr>
          <w:b/>
        </w:rPr>
        <w:t xml:space="preserve">SiO J=8–7 at 347.331 GHz </w:t>
      </w:r>
      <w:r>
        <w:t xml:space="preserve">(falling in the 345.2–349.1 GHz windows), together with </w:t>
      </w:r>
      <w:r>
        <w:rPr>
          <w:rFonts w:ascii="Cambria" w:eastAsia="Cambria" w:hAnsi="Cambria" w:cs="Cambria"/>
          <w:vertAlign w:val="superscript"/>
        </w:rPr>
        <w:t>12</w:t>
      </w:r>
      <w:r>
        <w:rPr>
          <w:b/>
        </w:rPr>
        <w:t xml:space="preserve">CO J=3–2 at 345.796 GHz </w:t>
      </w:r>
      <w:r>
        <w:t xml:space="preserve">in the same tuning as SiO 8–7. Both tunings exist for all seven targets, so a two-point excitation analysis can be done on a strictly common footing with only ~14 of the 42 archive rows. Note that this line list is explicitly flagged in the data description as </w:t>
      </w:r>
      <w:r>
        <w:rPr>
          <w:i/>
        </w:rPr>
        <w:t xml:space="preserve">generated from general knowledge, to be verified against </w:t>
      </w:r>
      <w:proofErr w:type="spellStart"/>
      <w:r>
        <w:rPr>
          <w:i/>
        </w:rPr>
        <w:t>Splatalogue</w:t>
      </w:r>
      <w:proofErr w:type="spellEnd"/>
      <w:r>
        <w:rPr>
          <w:i/>
        </w:rPr>
        <w:t xml:space="preserve"> before imaging</w:t>
      </w:r>
      <w:r>
        <w:t xml:space="preserve">; the description also states that because these are Galactic sources within a few hundred pc, no redshift correction is </w:t>
      </w:r>
      <w:proofErr w:type="gramStart"/>
      <w:r>
        <w:t>needed</w:t>
      </w:r>
      <w:proofErr w:type="gramEnd"/>
      <w:r>
        <w:t xml:space="preserve"> and rest frequencies are used directly. Confirming those rest frequencies (and the exact SiO 7–6 / 8–7 / CO 3–2 </w:t>
      </w:r>
      <w:proofErr w:type="spellStart"/>
      <w:r>
        <w:t>quantumnumber</w:t>
      </w:r>
      <w:proofErr w:type="spellEnd"/>
      <w:r>
        <w:t xml:space="preserve"> assignments and Einstein A / </w:t>
      </w:r>
      <w:proofErr w:type="spellStart"/>
      <w:r>
        <w:t>E_upper</w:t>
      </w:r>
      <w:proofErr w:type="spellEnd"/>
      <w:r>
        <w:t xml:space="preserve"> values) in </w:t>
      </w:r>
      <w:proofErr w:type="spellStart"/>
      <w:r>
        <w:t>Splatalogue</w:t>
      </w:r>
      <w:proofErr w:type="spellEnd"/>
      <w:r>
        <w:t xml:space="preserve"> or CDMS is step one of the </w:t>
      </w:r>
      <w:proofErr w:type="gramStart"/>
      <w:r>
        <w:t>thesis</w:t>
      </w:r>
      <w:proofErr w:type="gramEnd"/>
      <w:r>
        <w:t>, not an assumption.</w:t>
      </w:r>
    </w:p>
    <w:p w14:paraId="3C1F3561" w14:textId="77777777" w:rsidR="00E76A90" w:rsidRDefault="00000000">
      <w:pPr>
        <w:ind w:left="-5"/>
      </w:pPr>
      <w:r>
        <w:rPr>
          <w:b/>
        </w:rPr>
        <w:t xml:space="preserve">Scope-defining feasibility constraint. </w:t>
      </w:r>
      <w:r>
        <w:t xml:space="preserve">These are single-pointing ACA </w:t>
      </w:r>
      <w:proofErr w:type="gramStart"/>
      <w:r>
        <w:t>observations (‘</w:t>
      </w:r>
      <w:proofErr w:type="gramEnd"/>
      <w:r>
        <w:t xml:space="preserve">Mosaic: </w:t>
      </w:r>
      <w:proofErr w:type="gramStart"/>
      <w:r>
        <w:t>no‘</w:t>
      </w:r>
      <w:proofErr w:type="gramEnd"/>
      <w:r>
        <w:t>), so the usable field is roughly the 7 m primary beam — of order half an arcminute at Band 7. With 3.0–4.6</w:t>
      </w:r>
      <w:r>
        <w:rPr>
          <w:rFonts w:ascii="Cambria" w:eastAsia="Cambria" w:hAnsi="Cambria" w:cs="Cambria"/>
          <w:sz w:val="16"/>
        </w:rPr>
        <w:t xml:space="preserve">′′ </w:t>
      </w:r>
      <w:r>
        <w:t xml:space="preserve">synthesized beams, that is only a handful of independent resolution elements per source. The project is therefore deliberately </w:t>
      </w:r>
      <w:r>
        <w:rPr>
          <w:i/>
        </w:rPr>
        <w:t>aperture-based spectroscopy of the inner outflow</w:t>
      </w:r>
      <w:r>
        <w:t xml:space="preserve">, not extended outflow mapping: three apertures per source (continuum/driving-source position, </w:t>
      </w:r>
      <w:proofErr w:type="spellStart"/>
      <w:r>
        <w:t>blueshifted</w:t>
      </w:r>
      <w:proofErr w:type="spellEnd"/>
      <w:r>
        <w:t xml:space="preserve"> lobe, red-shifted lobe, all inside the primary-beam FWHM), which is exactly the number of measurements a single student can extract, error-bar, and defend.</w:t>
      </w:r>
    </w:p>
    <w:p w14:paraId="144F9C96" w14:textId="77777777" w:rsidR="00E76A90" w:rsidRDefault="00000000">
      <w:pPr>
        <w:ind w:left="-5"/>
      </w:pPr>
      <w:r>
        <w:rPr>
          <w:b/>
        </w:rPr>
        <w:t xml:space="preserve">Work plan (semester-scale). </w:t>
      </w:r>
      <w:r>
        <w:t xml:space="preserve">1. </w:t>
      </w:r>
      <w:r>
        <w:rPr>
          <w:i/>
        </w:rPr>
        <w:t xml:space="preserve">Data retrieval and audit. </w:t>
      </w:r>
      <w:r>
        <w:t xml:space="preserve">Download QA2 products for the two relevant tunings for all seven targets from the ALMA </w:t>
      </w:r>
      <w:proofErr w:type="gramStart"/>
      <w:r>
        <w:t>archive (‘</w:t>
      </w:r>
      <w:proofErr w:type="gramEnd"/>
      <w:r>
        <w:t>2017.1.01053.</w:t>
      </w:r>
      <w:proofErr w:type="gramStart"/>
      <w:r>
        <w:t>S‘)</w:t>
      </w:r>
      <w:proofErr w:type="gramEnd"/>
      <w:r>
        <w:t>. Audit the target list first: the archive rows list both ‘IRAS_0416+</w:t>
      </w:r>
      <w:proofErr w:type="gramStart"/>
      <w:r>
        <w:t>2706‘ and</w:t>
      </w:r>
      <w:proofErr w:type="gramEnd"/>
      <w:r>
        <w:t xml:space="preserve"> ‘IRAS_04166+</w:t>
      </w:r>
      <w:proofErr w:type="gramStart"/>
      <w:r>
        <w:t>2706‘ at</w:t>
      </w:r>
      <w:proofErr w:type="gramEnd"/>
      <w:r>
        <w:t xml:space="preserve"> identical coordinates, and three targets sit at northern declinations despite the </w:t>
      </w:r>
      <w:proofErr w:type="gramStart"/>
      <w:r>
        <w:t>abstract’s ”seven</w:t>
      </w:r>
      <w:proofErr w:type="gramEnd"/>
      <w:r>
        <w:t xml:space="preserve"> southern outflows” wording — the student should reconcile names and pointing </w:t>
      </w:r>
      <w:proofErr w:type="spellStart"/>
      <w:r>
        <w:t>centres</w:t>
      </w:r>
      <w:proofErr w:type="spellEnd"/>
      <w:r>
        <w:t xml:space="preserve"> before merging anything. 2. </w:t>
      </w:r>
      <w:r>
        <w:rPr>
          <w:i/>
        </w:rPr>
        <w:t xml:space="preserve">Homogenization. </w:t>
      </w:r>
      <w:r>
        <w:t xml:space="preserve">Convolve all cubes </w:t>
      </w:r>
      <w:proofErr w:type="gramStart"/>
      <w:r>
        <w:t>to</w:t>
      </w:r>
      <w:proofErr w:type="gramEnd"/>
      <w:r>
        <w:t xml:space="preserve"> a single common circular beam (</w:t>
      </w:r>
      <w:r>
        <w:rPr>
          <w:rFonts w:ascii="Cambria" w:eastAsia="Cambria" w:hAnsi="Cambria" w:cs="Cambria"/>
        </w:rPr>
        <w:t>≈</w:t>
      </w:r>
      <w:r>
        <w:t>5</w:t>
      </w:r>
      <w:r>
        <w:rPr>
          <w:rFonts w:ascii="Cambria" w:eastAsia="Cambria" w:hAnsi="Cambria" w:cs="Cambria"/>
          <w:sz w:val="16"/>
        </w:rPr>
        <w:t>′′</w:t>
      </w:r>
      <w:r>
        <w:t xml:space="preserve">, set by the coarsest listed resolution of </w:t>
      </w:r>
      <w:proofErr w:type="gramStart"/>
      <w:r>
        <w:t>4.582</w:t>
      </w:r>
      <w:r>
        <w:rPr>
          <w:rFonts w:ascii="Cambria" w:eastAsia="Cambria" w:hAnsi="Cambria" w:cs="Cambria"/>
          <w:sz w:val="16"/>
        </w:rPr>
        <w:t>′′</w:t>
      </w:r>
      <w:r>
        <w:t>)</w:t>
      </w:r>
      <w:proofErr w:type="gramEnd"/>
      <w:r>
        <w:t xml:space="preserve">, </w:t>
      </w:r>
      <w:proofErr w:type="spellStart"/>
      <w:r>
        <w:t>regrid</w:t>
      </w:r>
      <w:proofErr w:type="spellEnd"/>
      <w:r>
        <w:t xml:space="preserve"> to a common spatial grid and to the coarser common velocity channel (the two tunings are listed at 1.078 and 0.943 km/s), and verify </w:t>
      </w:r>
      <w:proofErr w:type="spellStart"/>
      <w:r>
        <w:t>fluxscale</w:t>
      </w:r>
      <w:proofErr w:type="spellEnd"/>
      <w:r>
        <w:t xml:space="preserve"> consistency. This step, done properly, is the thesis’s real methodological contribution: any ratio computed from natively differing beams is meaningless. 3. </w:t>
      </w:r>
      <w:r>
        <w:rPr>
          <w:i/>
        </w:rPr>
        <w:t xml:space="preserve">Measurement. </w:t>
      </w:r>
      <w:r>
        <w:t xml:space="preserve">Extract </w:t>
      </w:r>
      <w:r>
        <w:lastRenderedPageBreak/>
        <w:t>spectra in the three apertures per source; fit or integrate SiO 7–6, SiO 8–7, and CO 3–2 over matched velocity intervals, defining low- and high-velocity intervals from the CO 3–</w:t>
      </w:r>
      <w:proofErr w:type="gramStart"/>
      <w:r>
        <w:t>2 line</w:t>
      </w:r>
      <w:proofErr w:type="gramEnd"/>
      <w:r>
        <w:t xml:space="preserve"> profile itself. 4. </w:t>
      </w:r>
      <w:r>
        <w:rPr>
          <w:i/>
        </w:rPr>
        <w:t xml:space="preserve">Analysis. </w:t>
      </w:r>
      <w:r>
        <w:t>From the SiO 8–7 / 7–6 integrated-intensity ratio, derive an LTE excitation temperature and SiO column density per aperture (optically thin, single-</w:t>
      </w:r>
      <w:proofErr w:type="spellStart"/>
      <w:r>
        <w:t>T_ex</w:t>
      </w:r>
      <w:proofErr w:type="spellEnd"/>
      <w:r>
        <w:t xml:space="preserve"> assumption, stated explicitly with its failure modes). Compare high-velocity to low-velocity intervals within each source, and rank sources by CO 3–2 maximum velocity extent — a quantity measured from these cubes alone — to test for a trend. 5. </w:t>
      </w:r>
      <w:r>
        <w:rPr>
          <w:i/>
        </w:rPr>
        <w:t xml:space="preserve">Robustness. </w:t>
      </w:r>
      <w:r>
        <w:t xml:space="preserve">Propagate the quoted line sensitivities (7.2–20.2 </w:t>
      </w:r>
      <w:proofErr w:type="spellStart"/>
      <w:r>
        <w:t>mJy</w:t>
      </w:r>
      <w:proofErr w:type="spellEnd"/>
      <w:r>
        <w:t>/beam at 10 km/s) into real upper limits. Non-detections are a legitimate result here and are reported as limits, not dropped.</w:t>
      </w:r>
    </w:p>
    <w:p w14:paraId="4D36F1DF" w14:textId="77777777" w:rsidR="00E76A90" w:rsidRDefault="00000000">
      <w:pPr>
        <w:ind w:left="-5"/>
      </w:pPr>
      <w:r>
        <w:rPr>
          <w:b/>
        </w:rPr>
        <w:t xml:space="preserve">Deliverable. </w:t>
      </w:r>
      <w:r>
        <w:t xml:space="preserve">A homogenized, publicly reproducible set of matched-beam SiO and CO moment maps and aperture spectra for seven outflows, plus a table of SiO </w:t>
      </w:r>
      <w:proofErr w:type="spellStart"/>
      <w:r>
        <w:t>T_ex</w:t>
      </w:r>
      <w:proofErr w:type="spellEnd"/>
      <w:r>
        <w:t>, N(SiO), and N(SiO)/N(CO) proxies with uncertainties — enough to state whether SiO in these sources is confined to a distinct high-velocity, warmer component, and whether that component’s properties track outflow velocity extent.</w:t>
      </w:r>
    </w:p>
    <w:p w14:paraId="4FE9C783" w14:textId="77777777" w:rsidR="00E76A90" w:rsidRDefault="00000000">
      <w:pPr>
        <w:spacing w:after="307"/>
        <w:ind w:left="-5"/>
      </w:pPr>
      <w:r>
        <w:rPr>
          <w:b/>
        </w:rPr>
        <w:t xml:space="preserve">Honest caveats built into the scope. </w:t>
      </w:r>
      <w:r>
        <w:t xml:space="preserve">Physical-scale and mass conversions require adopted literature distances, which the student must source and cite explicitly; the description gives </w:t>
      </w:r>
      <w:proofErr w:type="gramStart"/>
      <w:r>
        <w:t>only ”within</w:t>
      </w:r>
      <w:proofErr w:type="gramEnd"/>
      <w:r>
        <w:t xml:space="preserve"> a few hundred pc,” so all primary results are framed as distance-independent line ratios, with any AU-scale or mass statement clearly flagged as distance-dependent. CO 3–2 is almost certainly optically thick and is used as a kinematic template and qualitative entrained-gas reference, not for absolute column densities. A two-transition ratio constrains excitation only weakly; the thesis should say so and treat the result as a first-order </w:t>
      </w:r>
      <w:proofErr w:type="spellStart"/>
      <w:r>
        <w:t>T_ex</w:t>
      </w:r>
      <w:proofErr w:type="spellEnd"/>
      <w:r>
        <w:t xml:space="preserve"> estimate. If SiO proves undetected in the fainter targets at ACA sensitivity, the fallback — already scientifically worthwhile — is a detections-plus-limits census with the same homogenization machinery, optionally extended to the SO 344.311 GHz / CH</w:t>
      </w:r>
      <w:r>
        <w:rPr>
          <w:rFonts w:ascii="Cambria" w:eastAsia="Cambria" w:hAnsi="Cambria" w:cs="Cambria"/>
          <w:vertAlign w:val="subscript"/>
        </w:rPr>
        <w:t>3</w:t>
      </w:r>
      <w:r>
        <w:t>OH 338.409 GHz lines listed in the annotation (again, frequencies to be Splatalogue-verified) as a secondary shock-chemistry check.</w:t>
      </w:r>
    </w:p>
    <w:p w14:paraId="5697BBB7" w14:textId="77777777" w:rsidR="00E76A90" w:rsidRDefault="00000000">
      <w:pPr>
        <w:tabs>
          <w:tab w:val="center" w:pos="1098"/>
        </w:tabs>
        <w:spacing w:after="132" w:line="256" w:lineRule="auto"/>
        <w:ind w:left="-15" w:firstLine="0"/>
        <w:jc w:val="left"/>
      </w:pPr>
      <w:r>
        <w:rPr>
          <w:b/>
          <w:sz w:val="24"/>
        </w:rPr>
        <w:t>0.3</w:t>
      </w:r>
      <w:r>
        <w:rPr>
          <w:b/>
          <w:sz w:val="24"/>
        </w:rPr>
        <w:tab/>
        <w:t>Methods</w:t>
      </w:r>
    </w:p>
    <w:p w14:paraId="16092E21" w14:textId="77777777" w:rsidR="00E76A90" w:rsidRDefault="00000000">
      <w:pPr>
        <w:spacing w:after="307"/>
        <w:ind w:left="-5"/>
      </w:pPr>
      <w:r>
        <w:t># Methods</w:t>
      </w:r>
    </w:p>
    <w:p w14:paraId="793B68DF" w14:textId="77777777" w:rsidR="00E76A90" w:rsidRDefault="00000000">
      <w:pPr>
        <w:pStyle w:val="Heading1"/>
        <w:tabs>
          <w:tab w:val="center" w:pos="3652"/>
        </w:tabs>
        <w:ind w:left="-15" w:firstLine="0"/>
      </w:pPr>
      <w:r>
        <w:t>0.4</w:t>
      </w:r>
      <w:r>
        <w:tab/>
        <w:t xml:space="preserve">0. Orientation and what you are </w:t>
      </w:r>
      <w:proofErr w:type="gramStart"/>
      <w:r>
        <w:t>actually measuring</w:t>
      </w:r>
      <w:proofErr w:type="gramEnd"/>
    </w:p>
    <w:p w14:paraId="77333EC0" w14:textId="77777777" w:rsidR="00E76A90" w:rsidRDefault="00000000">
      <w:pPr>
        <w:ind w:left="-5"/>
      </w:pPr>
      <w:r>
        <w:t xml:space="preserve">Everything below is built around one measurable: the ratio of two integrated line intensities of the </w:t>
      </w:r>
      <w:r>
        <w:rPr>
          <w:i/>
        </w:rPr>
        <w:t xml:space="preserve">same </w:t>
      </w:r>
      <w:r>
        <w:t xml:space="preserve">molecule, SiO, measured in the </w:t>
      </w:r>
      <w:r>
        <w:rPr>
          <w:i/>
        </w:rPr>
        <w:t xml:space="preserve">same </w:t>
      </w:r>
      <w:r>
        <w:t xml:space="preserve">solid angle, over the </w:t>
      </w:r>
      <w:r>
        <w:rPr>
          <w:i/>
        </w:rPr>
        <w:t xml:space="preserve">same </w:t>
      </w:r>
      <w:r>
        <w:t>velocity interval, in seven sources. Every step in the workflow exists to make that ratio defensible. Keep that in mind when you are tempted to skip a homogenization step — a ratio computed from cubes with different beams, different spatial grids, different velocity channels, or different primary-beam responses is not a physical quantity, it is an artifact.</w:t>
      </w:r>
    </w:p>
    <w:p w14:paraId="03FB42D1" w14:textId="77777777" w:rsidR="00E76A90" w:rsidRDefault="00000000">
      <w:pPr>
        <w:pStyle w:val="Heading1"/>
        <w:tabs>
          <w:tab w:val="center" w:pos="4301"/>
        </w:tabs>
        <w:ind w:left="-15" w:firstLine="0"/>
      </w:pPr>
      <w:r>
        <w:t>0.5</w:t>
      </w:r>
      <w:r>
        <w:tab/>
        <w:t>1. Line-list verification (do this before you download anything)</w:t>
      </w:r>
    </w:p>
    <w:p w14:paraId="593EF12A" w14:textId="77777777" w:rsidR="00E76A90" w:rsidRDefault="00000000">
      <w:pPr>
        <w:ind w:left="-5"/>
      </w:pPr>
      <w:r>
        <w:t xml:space="preserve">The line identifications you were handed came with an explicit warning in the data description that they were generated from general knowledge and must be verified against </w:t>
      </w:r>
      <w:proofErr w:type="spellStart"/>
      <w:r>
        <w:t>Splatalogue</w:t>
      </w:r>
      <w:proofErr w:type="spellEnd"/>
      <w:r>
        <w:t xml:space="preserve"> before imaging. Treat them as hypotheses.</w:t>
      </w:r>
    </w:p>
    <w:p w14:paraId="5EB6BCA9" w14:textId="77777777" w:rsidR="00E76A90" w:rsidRDefault="00000000">
      <w:pPr>
        <w:ind w:left="-5"/>
      </w:pPr>
      <w:r>
        <w:t xml:space="preserve">1. In </w:t>
      </w:r>
      <w:proofErr w:type="spellStart"/>
      <w:r>
        <w:t>Splatalogue</w:t>
      </w:r>
      <w:proofErr w:type="spellEnd"/>
      <w:r>
        <w:t xml:space="preserve"> (and cross-check in CDMS and JPL), pull the full entries for SiO J=7–6 (quoted at 303.927 GHz), SiO J=8–7 (quoted at 347.331 GHz), and </w:t>
      </w:r>
      <w:r>
        <w:rPr>
          <w:rFonts w:ascii="Cambria" w:eastAsia="Cambria" w:hAnsi="Cambria" w:cs="Cambria"/>
          <w:vertAlign w:val="superscript"/>
        </w:rPr>
        <w:t>12</w:t>
      </w:r>
      <w:r>
        <w:t xml:space="preserve">CO J=3–2 (quoted at 345.796 GHz). Record, for each: the rest frequency to the quoted precision, the quantum-number assignment, the vibrational state (make sure you have v=0, not a vibrationally excited SiO line), the upper-state energy </w:t>
      </w:r>
      <w:proofErr w:type="spellStart"/>
      <w:r>
        <w:t>E_u</w:t>
      </w:r>
      <w:proofErr w:type="spellEnd"/>
      <w:r>
        <w:t xml:space="preserve">, the degeneracy </w:t>
      </w:r>
      <w:proofErr w:type="spellStart"/>
      <w:r>
        <w:t>g_u</w:t>
      </w:r>
      <w:proofErr w:type="spellEnd"/>
      <w:r>
        <w:t xml:space="preserve">, and the Einstein </w:t>
      </w:r>
      <w:proofErr w:type="spellStart"/>
      <w:r>
        <w:t>A_ul</w:t>
      </w:r>
      <w:proofErr w:type="spellEnd"/>
      <w:r>
        <w:t xml:space="preserve">. Record which catalog entry you adopted and its uncertainty. 2. Download or tabulate the CDMS partition function Q(T) for SiO on its standard temperature grid; you will interpolate it later. For a </w:t>
      </w:r>
      <w:r>
        <w:lastRenderedPageBreak/>
        <w:t xml:space="preserve">sanity check you can compare against the linear-rotor approximation Q </w:t>
      </w:r>
      <w:r>
        <w:rPr>
          <w:rFonts w:ascii="Cambria" w:eastAsia="Cambria" w:hAnsi="Cambria" w:cs="Cambria"/>
        </w:rPr>
        <w:t xml:space="preserve">≈ </w:t>
      </w:r>
      <w:proofErr w:type="spellStart"/>
      <w:r>
        <w:t>kT</w:t>
      </w:r>
      <w:proofErr w:type="spellEnd"/>
      <w:r>
        <w:t>/(</w:t>
      </w:r>
      <w:proofErr w:type="spellStart"/>
      <w:r>
        <w:t>hB</w:t>
      </w:r>
      <w:proofErr w:type="spellEnd"/>
      <w:r>
        <w:t xml:space="preserve">) + 1/3. 3. Build a candidate-contaminant list: for each of the three target lines, query a </w:t>
      </w:r>
      <w:r>
        <w:rPr>
          <w:rFonts w:ascii="Cambria" w:eastAsia="Cambria" w:hAnsi="Cambria" w:cs="Cambria"/>
        </w:rPr>
        <w:t>±</w:t>
      </w:r>
      <w:r>
        <w:t>100 km/s window around the rest frequency for any other catalogued transition of comparable strength (SO</w:t>
      </w:r>
      <w:r>
        <w:rPr>
          <w:rFonts w:ascii="Cambria" w:eastAsia="Cambria" w:hAnsi="Cambria" w:cs="Cambria"/>
          <w:vertAlign w:val="subscript"/>
        </w:rPr>
        <w:t xml:space="preserve">2 </w:t>
      </w:r>
      <w:r>
        <w:t xml:space="preserve">in particular has a dense forest through Band 7, and the annotation flags it as spread across nearly all of these windows). You need to know in advance whether a blend can masquerade as a broad SiO wing. 4. The data description states that these are Galactic sources within a few hundred pc, so no redshift correction is </w:t>
      </w:r>
      <w:proofErr w:type="gramStart"/>
      <w:r>
        <w:t>applied</w:t>
      </w:r>
      <w:proofErr w:type="gramEnd"/>
      <w:r>
        <w:t xml:space="preserve"> and rest frequencies are used directly. Adopt that. But you still need each source’s systemic </w:t>
      </w:r>
      <w:proofErr w:type="spellStart"/>
      <w:r>
        <w:t>v_LSR</w:t>
      </w:r>
      <w:proofErr w:type="spellEnd"/>
      <w:r>
        <w:t>, and you will measure that from the data itself (Step 6), not assume it.</w:t>
      </w:r>
    </w:p>
    <w:p w14:paraId="23708885" w14:textId="77777777" w:rsidR="00E76A90" w:rsidRDefault="00000000">
      <w:pPr>
        <w:spacing w:after="308"/>
        <w:ind w:left="-5"/>
      </w:pPr>
      <w:r>
        <w:t xml:space="preserve">Write this up as Table 1 of the thesis. It is a small </w:t>
      </w:r>
      <w:proofErr w:type="gramStart"/>
      <w:r>
        <w:t>table</w:t>
      </w:r>
      <w:proofErr w:type="gramEnd"/>
      <w:r>
        <w:t xml:space="preserve"> and it is </w:t>
      </w:r>
      <w:proofErr w:type="gramStart"/>
      <w:r>
        <w:t>load-bearing</w:t>
      </w:r>
      <w:proofErr w:type="gramEnd"/>
      <w:r>
        <w:t xml:space="preserve">: the entire excitation analysis is a function of </w:t>
      </w:r>
      <w:proofErr w:type="spellStart"/>
      <w:r>
        <w:t>A_ul</w:t>
      </w:r>
      <w:proofErr w:type="spellEnd"/>
      <w:r>
        <w:t xml:space="preserve">, </w:t>
      </w:r>
      <w:proofErr w:type="spellStart"/>
      <w:r>
        <w:t>E_u</w:t>
      </w:r>
      <w:proofErr w:type="spellEnd"/>
      <w:r>
        <w:t xml:space="preserve">, and </w:t>
      </w:r>
      <w:proofErr w:type="spellStart"/>
      <w:r>
        <w:t>g_u</w:t>
      </w:r>
      <w:proofErr w:type="spellEnd"/>
      <w:r>
        <w:t>.</w:t>
      </w:r>
    </w:p>
    <w:p w14:paraId="2F322A16" w14:textId="77777777" w:rsidR="00E76A90" w:rsidRDefault="00000000">
      <w:pPr>
        <w:pStyle w:val="Heading1"/>
        <w:tabs>
          <w:tab w:val="center" w:pos="2360"/>
        </w:tabs>
        <w:ind w:left="-15" w:firstLine="0"/>
      </w:pPr>
      <w:r>
        <w:t>0.6</w:t>
      </w:r>
      <w:r>
        <w:tab/>
        <w:t>2. Archive selection and audit</w:t>
      </w:r>
    </w:p>
    <w:p w14:paraId="32856AAE" w14:textId="77777777" w:rsidR="00E76A90" w:rsidRDefault="00000000">
      <w:pPr>
        <w:ind w:left="-5"/>
      </w:pPr>
      <w:r>
        <w:t>Only two of the five tunings in project 2017.1.01053.S matter for this project. Verify this yourself against the observation table rather than taking my word for it:</w:t>
      </w:r>
    </w:p>
    <w:p w14:paraId="435A6323" w14:textId="77777777" w:rsidR="00E76A90" w:rsidRDefault="00000000">
      <w:pPr>
        <w:numPr>
          <w:ilvl w:val="0"/>
          <w:numId w:val="1"/>
        </w:numPr>
        <w:ind w:left="546" w:hanging="279"/>
      </w:pPr>
      <w:proofErr w:type="gramStart"/>
      <w:r>
        <w:rPr>
          <w:b/>
        </w:rPr>
        <w:t>Tuning ”T</w:t>
      </w:r>
      <w:proofErr w:type="gramEnd"/>
      <w:r>
        <w:rPr>
          <w:b/>
        </w:rPr>
        <w:t xml:space="preserve">300” </w:t>
      </w:r>
      <w:r>
        <w:t xml:space="preserve">(windows 300.1–302.1, 302.0–304.0, 312.1–314.1, 314.0–316.0 GHz; listed velocity resolution 1.078 km/s) is the only tuning whose coverage contains SiO 7–6 at 303.927 GHz. Member </w:t>
      </w:r>
      <w:proofErr w:type="gramStart"/>
      <w:r>
        <w:t>OUS: ‘</w:t>
      </w:r>
      <w:proofErr w:type="gramEnd"/>
      <w:r>
        <w:t>X1288/</w:t>
      </w:r>
      <w:proofErr w:type="spellStart"/>
      <w:proofErr w:type="gramStart"/>
      <w:r>
        <w:t>Xfcc</w:t>
      </w:r>
      <w:proofErr w:type="spellEnd"/>
      <w:r>
        <w:t>‘ (</w:t>
      </w:r>
      <w:proofErr w:type="gramEnd"/>
      <w:r>
        <w:t>HH 212</w:t>
      </w:r>
      <w:proofErr w:type="gramStart"/>
      <w:r>
        <w:t>), ‘</w:t>
      </w:r>
      <w:proofErr w:type="spellStart"/>
      <w:r>
        <w:t>Xfcf</w:t>
      </w:r>
      <w:proofErr w:type="spellEnd"/>
      <w:r>
        <w:t>‘ (</w:t>
      </w:r>
      <w:proofErr w:type="gramEnd"/>
      <w:r>
        <w:t>IRAS 04166+2706 and L1551 IRS 5</w:t>
      </w:r>
      <w:proofErr w:type="gramStart"/>
      <w:r>
        <w:t>), ‘</w:t>
      </w:r>
      <w:proofErr w:type="gramEnd"/>
      <w:r>
        <w:t>Xfd</w:t>
      </w:r>
      <w:proofErr w:type="gramStart"/>
      <w:r>
        <w:t>2‘ (</w:t>
      </w:r>
      <w:proofErr w:type="gramEnd"/>
      <w:r>
        <w:t>CG 30</w:t>
      </w:r>
      <w:proofErr w:type="gramStart"/>
      <w:r>
        <w:t>), ‘</w:t>
      </w:r>
      <w:proofErr w:type="gramEnd"/>
      <w:r>
        <w:t>Xfd</w:t>
      </w:r>
      <w:proofErr w:type="gramStart"/>
      <w:r>
        <w:t>5‘ (</w:t>
      </w:r>
      <w:proofErr w:type="gramEnd"/>
      <w:r>
        <w:t>HH 46</w:t>
      </w:r>
      <w:proofErr w:type="gramStart"/>
      <w:r>
        <w:t>), ‘</w:t>
      </w:r>
      <w:proofErr w:type="gramEnd"/>
      <w:r>
        <w:t>Xfd</w:t>
      </w:r>
      <w:proofErr w:type="gramStart"/>
      <w:r>
        <w:t>8‘ (</w:t>
      </w:r>
      <w:proofErr w:type="gramEnd"/>
      <w:r>
        <w:t>GAL 331.5-00.1</w:t>
      </w:r>
      <w:proofErr w:type="gramStart"/>
      <w:r>
        <w:t>), ‘</w:t>
      </w:r>
      <w:proofErr w:type="spellStart"/>
      <w:r>
        <w:t>Xfdb</w:t>
      </w:r>
      <w:proofErr w:type="spellEnd"/>
      <w:r>
        <w:t>‘ (</w:t>
      </w:r>
      <w:proofErr w:type="gramEnd"/>
      <w:r>
        <w:t>BHR 71).</w:t>
      </w:r>
    </w:p>
    <w:p w14:paraId="7D9A0BF4" w14:textId="77777777" w:rsidR="00E76A90" w:rsidRDefault="00000000">
      <w:pPr>
        <w:numPr>
          <w:ilvl w:val="0"/>
          <w:numId w:val="1"/>
        </w:numPr>
        <w:ind w:left="546" w:hanging="279"/>
      </w:pPr>
      <w:proofErr w:type="gramStart"/>
      <w:r>
        <w:rPr>
          <w:b/>
        </w:rPr>
        <w:t>Tuning ”T</w:t>
      </w:r>
      <w:proofErr w:type="gramEnd"/>
      <w:r>
        <w:rPr>
          <w:b/>
        </w:rPr>
        <w:t xml:space="preserve">345” </w:t>
      </w:r>
      <w:r>
        <w:t xml:space="preserve">(windows 345.2–347.2, 347.1–349.1, 357.1–359.1, 359.0–361.0 GHz; listed velocity resolution 0.943 km/s) contains SiO 8–7 at 347.331 GHz </w:t>
      </w:r>
      <w:r>
        <w:rPr>
          <w:i/>
        </w:rPr>
        <w:t xml:space="preserve">and </w:t>
      </w:r>
      <w:r>
        <w:rPr>
          <w:rFonts w:ascii="Cambria" w:eastAsia="Cambria" w:hAnsi="Cambria" w:cs="Cambria"/>
          <w:vertAlign w:val="superscript"/>
        </w:rPr>
        <w:t>12</w:t>
      </w:r>
      <w:r>
        <w:t xml:space="preserve">CO 3–2 at 345.796 GHz. Member </w:t>
      </w:r>
      <w:proofErr w:type="gramStart"/>
      <w:r>
        <w:t>OUS: ‘</w:t>
      </w:r>
      <w:proofErr w:type="gramEnd"/>
      <w:r>
        <w:t>Xf</w:t>
      </w:r>
      <w:proofErr w:type="gramStart"/>
      <w:r>
        <w:t>93‘ (</w:t>
      </w:r>
      <w:proofErr w:type="gramEnd"/>
      <w:r>
        <w:t>HH 212</w:t>
      </w:r>
      <w:proofErr w:type="gramStart"/>
      <w:r>
        <w:t>), ‘</w:t>
      </w:r>
      <w:proofErr w:type="gramEnd"/>
      <w:r>
        <w:t>Xf</w:t>
      </w:r>
      <w:proofErr w:type="gramStart"/>
      <w:r>
        <w:t>96‘ (</w:t>
      </w:r>
      <w:proofErr w:type="gramEnd"/>
      <w:r>
        <w:t>IRAS_0416+2706 and L1551 IRS 5</w:t>
      </w:r>
      <w:proofErr w:type="gramStart"/>
      <w:r>
        <w:t>), ‘</w:t>
      </w:r>
      <w:proofErr w:type="gramEnd"/>
      <w:r>
        <w:t>Xf</w:t>
      </w:r>
      <w:proofErr w:type="gramStart"/>
      <w:r>
        <w:t>99‘ (</w:t>
      </w:r>
      <w:proofErr w:type="gramEnd"/>
      <w:r>
        <w:t>CG 30</w:t>
      </w:r>
      <w:proofErr w:type="gramStart"/>
      <w:r>
        <w:t>), ‘</w:t>
      </w:r>
      <w:proofErr w:type="gramEnd"/>
      <w:r>
        <w:t>Xf9</w:t>
      </w:r>
      <w:proofErr w:type="gramStart"/>
      <w:r>
        <w:t>c‘ (</w:t>
      </w:r>
      <w:proofErr w:type="gramEnd"/>
      <w:r>
        <w:t>HH 46</w:t>
      </w:r>
      <w:proofErr w:type="gramStart"/>
      <w:r>
        <w:t>), ‘</w:t>
      </w:r>
      <w:proofErr w:type="gramEnd"/>
      <w:r>
        <w:t>Xf9</w:t>
      </w:r>
      <w:proofErr w:type="gramStart"/>
      <w:r>
        <w:t>f‘ (</w:t>
      </w:r>
      <w:proofErr w:type="gramEnd"/>
      <w:r>
        <w:t>GAL 331.5-00.1</w:t>
      </w:r>
      <w:proofErr w:type="gramStart"/>
      <w:r>
        <w:t>), ‘</w:t>
      </w:r>
      <w:proofErr w:type="gramEnd"/>
      <w:r>
        <w:t>Xfa</w:t>
      </w:r>
      <w:proofErr w:type="gramStart"/>
      <w:r>
        <w:t>2‘ (</w:t>
      </w:r>
      <w:proofErr w:type="gramEnd"/>
      <w:r>
        <w:t>BHR 71).</w:t>
      </w:r>
    </w:p>
    <w:p w14:paraId="19C99278" w14:textId="77777777" w:rsidR="00E76A90" w:rsidRDefault="00000000">
      <w:pPr>
        <w:ind w:left="-5"/>
      </w:pPr>
      <w:r>
        <w:t xml:space="preserve">That is </w:t>
      </w:r>
      <w:proofErr w:type="gramStart"/>
      <w:r>
        <w:t>twelve member</w:t>
      </w:r>
      <w:proofErr w:type="gramEnd"/>
      <w:r>
        <w:t xml:space="preserve"> OUS, fourteen target rows. Download the pipeline-calibrated measurement sets and QA2 image products for those only, via the ALMA Science Archive query interface or ‘</w:t>
      </w:r>
      <w:proofErr w:type="spellStart"/>
      <w:proofErr w:type="gramStart"/>
      <w:r>
        <w:t>astroquery.alma</w:t>
      </w:r>
      <w:proofErr w:type="spellEnd"/>
      <w:proofErr w:type="gramEnd"/>
      <w:r>
        <w:t>‘. Log SHA/file manifests as you go.</w:t>
      </w:r>
    </w:p>
    <w:p w14:paraId="6504BEC3" w14:textId="77777777" w:rsidR="00E76A90" w:rsidRDefault="00000000">
      <w:pPr>
        <w:ind w:left="-5"/>
      </w:pPr>
      <w:r>
        <w:t>Now audit, before you merge anything:</w:t>
      </w:r>
    </w:p>
    <w:p w14:paraId="02172F63" w14:textId="77777777" w:rsidR="00E76A90" w:rsidRDefault="00000000">
      <w:pPr>
        <w:numPr>
          <w:ilvl w:val="0"/>
          <w:numId w:val="1"/>
        </w:numPr>
        <w:ind w:left="546" w:hanging="279"/>
      </w:pPr>
      <w:r>
        <w:rPr>
          <w:b/>
        </w:rPr>
        <w:t xml:space="preserve">Names. </w:t>
      </w:r>
      <w:r>
        <w:t>The archive lists ‘IRAS_0416+</w:t>
      </w:r>
      <w:proofErr w:type="gramStart"/>
      <w:r>
        <w:t>2706‘ (</w:t>
      </w:r>
      <w:proofErr w:type="gramEnd"/>
      <w:r>
        <w:t xml:space="preserve">in </w:t>
      </w:r>
      <w:proofErr w:type="gramStart"/>
      <w:r>
        <w:t>T345, ‘Xf96‘)</w:t>
      </w:r>
      <w:proofErr w:type="gramEnd"/>
      <w:r>
        <w:t xml:space="preserve"> and ‘IRAS_04166+</w:t>
      </w:r>
      <w:proofErr w:type="gramStart"/>
      <w:r>
        <w:t>2706‘ (</w:t>
      </w:r>
      <w:proofErr w:type="gramEnd"/>
      <w:r>
        <w:t xml:space="preserve">in </w:t>
      </w:r>
      <w:proofErr w:type="gramStart"/>
      <w:r>
        <w:t>T300, ‘</w:t>
      </w:r>
      <w:proofErr w:type="spellStart"/>
      <w:r>
        <w:t>Xfcf</w:t>
      </w:r>
      <w:proofErr w:type="spellEnd"/>
      <w:r>
        <w:t>‘</w:t>
      </w:r>
      <w:proofErr w:type="gramEnd"/>
      <w:r>
        <w:t>) at identical coordinates, 64.92708, +27.22667. Confirm from the coordinates and the weblog that these are the same source and one is a typo; document the decision.</w:t>
      </w:r>
    </w:p>
    <w:p w14:paraId="4E8195B2" w14:textId="77777777" w:rsidR="00E76A90" w:rsidRDefault="00000000">
      <w:pPr>
        <w:numPr>
          <w:ilvl w:val="0"/>
          <w:numId w:val="1"/>
        </w:numPr>
        <w:ind w:left="546" w:hanging="279"/>
      </w:pPr>
      <w:r>
        <w:rPr>
          <w:b/>
        </w:rPr>
        <w:t xml:space="preserve">Pointing </w:t>
      </w:r>
      <w:proofErr w:type="spellStart"/>
      <w:r>
        <w:rPr>
          <w:b/>
        </w:rPr>
        <w:t>centres</w:t>
      </w:r>
      <w:proofErr w:type="spellEnd"/>
      <w:r>
        <w:rPr>
          <w:b/>
        </w:rPr>
        <w:t xml:space="preserve">. </w:t>
      </w:r>
      <w:r>
        <w:t xml:space="preserve">Do not assume the two tunings share a phase </w:t>
      </w:r>
      <w:proofErr w:type="spellStart"/>
      <w:r>
        <w:t>centre</w:t>
      </w:r>
      <w:proofErr w:type="spellEnd"/>
      <w:r>
        <w:t>. HH 46 is listed at 126.44375, -51.0125 in T345 and at 126.43236, -51.00992 in T300 — an offset of roughly half an arcminute, which is comparable to the ACA 7 m primary-beam FWHM at Band 7. Compute the angular offset for every source explicitly (‘</w:t>
      </w:r>
      <w:proofErr w:type="spellStart"/>
      <w:proofErr w:type="gramStart"/>
      <w:r>
        <w:t>astropy.coordinates</w:t>
      </w:r>
      <w:proofErr w:type="gramEnd"/>
      <w:r>
        <w:t>.SkyCoord.separation</w:t>
      </w:r>
      <w:proofErr w:type="spellEnd"/>
      <w:r>
        <w:t xml:space="preserve">‘). Wherever an offset is non-negligible, your usable field is the </w:t>
      </w:r>
      <w:r>
        <w:rPr>
          <w:i/>
        </w:rPr>
        <w:t xml:space="preserve">intersection </w:t>
      </w:r>
      <w:r>
        <w:t>of the two primary beams, and that intersection constrains where you are allowed to put apertures (Step 5).</w:t>
      </w:r>
    </w:p>
    <w:p w14:paraId="5C58B85D" w14:textId="77777777" w:rsidR="00E76A90" w:rsidRDefault="00000000">
      <w:pPr>
        <w:numPr>
          <w:ilvl w:val="0"/>
          <w:numId w:val="1"/>
        </w:numPr>
        <w:ind w:left="546" w:hanging="279"/>
      </w:pPr>
      <w:r>
        <w:rPr>
          <w:b/>
        </w:rPr>
        <w:t xml:space="preserve">Declinations and the abstract. </w:t>
      </w:r>
      <w:r>
        <w:t xml:space="preserve">Three targets (HH 212, IRAS 04166+2706, L1551 IRS 5) sit at northern declinations despite the proposal </w:t>
      </w:r>
      <w:proofErr w:type="gramStart"/>
      <w:r>
        <w:t>abstract’s ”seven</w:t>
      </w:r>
      <w:proofErr w:type="gramEnd"/>
      <w:r>
        <w:t xml:space="preserve"> southern outflows” phrasing. Note it, reconcile it against the target coordinates, and move on; it does not affect the </w:t>
      </w:r>
      <w:proofErr w:type="gramStart"/>
      <w:r>
        <w:t>analysis</w:t>
      </w:r>
      <w:proofErr w:type="gramEnd"/>
      <w:r>
        <w:t xml:space="preserve"> but a reader will notice.</w:t>
      </w:r>
    </w:p>
    <w:p w14:paraId="52A5AB70" w14:textId="77777777" w:rsidR="00E76A90" w:rsidRDefault="00000000">
      <w:pPr>
        <w:numPr>
          <w:ilvl w:val="0"/>
          <w:numId w:val="1"/>
        </w:numPr>
        <w:ind w:left="546" w:hanging="279"/>
      </w:pPr>
      <w:r>
        <w:rPr>
          <w:b/>
        </w:rPr>
        <w:t xml:space="preserve">Per-source spectral window edges. </w:t>
      </w:r>
      <w:r>
        <w:t xml:space="preserve">This is the audit item most likely to change your source list. The tabulated windows are not identical across targets: for GAL 331.5-00.1 the T300 windows are listed </w:t>
      </w:r>
      <w:r>
        <w:lastRenderedPageBreak/>
        <w:t>as 300.1–302.1, 301.9–303.9, 312.0–314.0, 313.9–315.9 GHz, i.e. shifted ~0.1–0.2 GHz low relative to the other six, which places SiO 7–6 at 303.927 GHz at or just beyond the upper edge of the 301.9–303.9 GHz window. For HH 46 and others the line sits ~73 MHz (</w:t>
      </w:r>
      <w:r>
        <w:rPr>
          <w:rFonts w:ascii="Cambria" w:eastAsia="Cambria" w:hAnsi="Cambria" w:cs="Cambria"/>
        </w:rPr>
        <w:t>≈</w:t>
      </w:r>
      <w:r>
        <w:t>70 km/s) below the 304.0 GHz edge, which leaves little line-free bandwidth on the high-frequency side for baseline fitting. Open each measurement set, read the actual per-</w:t>
      </w:r>
      <w:proofErr w:type="spellStart"/>
      <w:r>
        <w:t>spw</w:t>
      </w:r>
      <w:proofErr w:type="spellEnd"/>
      <w:r>
        <w:t xml:space="preserve"> frequency edges and frame from the data (‘</w:t>
      </w:r>
      <w:proofErr w:type="spellStart"/>
      <w:proofErr w:type="gramStart"/>
      <w:r>
        <w:t>listobs</w:t>
      </w:r>
      <w:proofErr w:type="spellEnd"/>
      <w:r>
        <w:t>‘</w:t>
      </w:r>
      <w:proofErr w:type="gramEnd"/>
      <w:r>
        <w:t>, ‘</w:t>
      </w:r>
      <w:proofErr w:type="spellStart"/>
      <w:proofErr w:type="gramStart"/>
      <w:r>
        <w:t>msmd</w:t>
      </w:r>
      <w:proofErr w:type="spellEnd"/>
      <w:r>
        <w:t>‘</w:t>
      </w:r>
      <w:proofErr w:type="gramEnd"/>
      <w:r>
        <w:t xml:space="preserve">, or the weblog </w:t>
      </w:r>
      <w:proofErr w:type="spellStart"/>
      <w:r>
        <w:t>spw</w:t>
      </w:r>
      <w:proofErr w:type="spellEnd"/>
      <w:r>
        <w:t xml:space="preserve"> table), convert the SiO 7–6 rest frequency into the observed frame using the source systemic velocity, and confirm coverage source by source. Any source where SiO 7–6 falls outside the recorded coverage cannot enter the two-transition analysis and is carried through the rest of the workflow as a CO-plus-SiO-8–7 entry with an explicit statement of why.</w:t>
      </w:r>
    </w:p>
    <w:p w14:paraId="38AED7DB" w14:textId="77777777" w:rsidR="00E76A90" w:rsidRDefault="00000000">
      <w:pPr>
        <w:numPr>
          <w:ilvl w:val="0"/>
          <w:numId w:val="1"/>
        </w:numPr>
        <w:spacing w:after="307"/>
        <w:ind w:left="546" w:hanging="279"/>
      </w:pPr>
      <w:r>
        <w:rPr>
          <w:b/>
        </w:rPr>
        <w:t xml:space="preserve">Weblog. </w:t>
      </w:r>
      <w:r>
        <w:t>For each member OUS, read the QA2 weblog: flux calibrator and model used, achieved sensitivity versus the quoted line sensitivity, restoring beam, any QA flags, number of antennas, and whether Hanning smoothing was applied (this determines channel-to-channel noise correlation and therefore your error bars).</w:t>
      </w:r>
    </w:p>
    <w:p w14:paraId="269BC32D" w14:textId="77777777" w:rsidR="00E76A90" w:rsidRDefault="00000000">
      <w:pPr>
        <w:pStyle w:val="Heading1"/>
        <w:tabs>
          <w:tab w:val="center" w:pos="1222"/>
        </w:tabs>
        <w:ind w:left="-15" w:firstLine="0"/>
      </w:pPr>
      <w:r>
        <w:t>0.7</w:t>
      </w:r>
      <w:r>
        <w:tab/>
        <w:t>3. Imaging</w:t>
      </w:r>
    </w:p>
    <w:p w14:paraId="409B6E4A" w14:textId="77777777" w:rsidR="00E76A90" w:rsidRDefault="00000000">
      <w:pPr>
        <w:ind w:left="-5"/>
      </w:pPr>
      <w:r>
        <w:t xml:space="preserve">Use the QA2 cubes as your primary </w:t>
      </w:r>
      <w:proofErr w:type="gramStart"/>
      <w:r>
        <w:t>products</w:t>
      </w:r>
      <w:proofErr w:type="gramEnd"/>
      <w:r>
        <w:t xml:space="preserve"> and re-image as verification.</w:t>
      </w:r>
    </w:p>
    <w:p w14:paraId="25E2D7AA" w14:textId="77777777" w:rsidR="00E76A90" w:rsidRDefault="00000000">
      <w:pPr>
        <w:ind w:left="-5"/>
      </w:pPr>
      <w:r>
        <w:rPr>
          <w:b/>
        </w:rPr>
        <w:t xml:space="preserve">Primary path. </w:t>
      </w:r>
      <w:r>
        <w:t xml:space="preserve">Take the pipeline </w:t>
      </w:r>
      <w:proofErr w:type="gramStart"/>
      <w:r>
        <w:t>‘.image‘ cubes</w:t>
      </w:r>
      <w:proofErr w:type="gramEnd"/>
      <w:r>
        <w:t xml:space="preserve"> plus the corresponding </w:t>
      </w:r>
      <w:proofErr w:type="gramStart"/>
      <w:r>
        <w:t>‘.pb‘ images</w:t>
      </w:r>
      <w:proofErr w:type="gramEnd"/>
      <w:r>
        <w:t xml:space="preserve"> for the </w:t>
      </w:r>
      <w:proofErr w:type="spellStart"/>
      <w:r>
        <w:t>spws</w:t>
      </w:r>
      <w:proofErr w:type="spellEnd"/>
      <w:r>
        <w:t xml:space="preserve"> containing SiO 7–6, SiO 8–7, and CO 3–2. Continuum-subtract in the image plane only if you must; preferentially do it properly in the </w:t>
      </w:r>
      <w:proofErr w:type="spellStart"/>
      <w:r>
        <w:rPr>
          <w:i/>
        </w:rPr>
        <w:t>uv</w:t>
      </w:r>
      <w:proofErr w:type="spellEnd"/>
      <w:r>
        <w:rPr>
          <w:i/>
        </w:rPr>
        <w:t xml:space="preserve"> </w:t>
      </w:r>
      <w:r>
        <w:t>plane on the calibrated MS with ‘</w:t>
      </w:r>
      <w:proofErr w:type="spellStart"/>
      <w:proofErr w:type="gramStart"/>
      <w:r>
        <w:t>uvcontsub</w:t>
      </w:r>
      <w:proofErr w:type="spellEnd"/>
      <w:r>
        <w:t>‘</w:t>
      </w:r>
      <w:proofErr w:type="gramEnd"/>
      <w:r>
        <w:t xml:space="preserve">, fitting a </w:t>
      </w:r>
      <w:proofErr w:type="spellStart"/>
      <w:r>
        <w:t>firstorder</w:t>
      </w:r>
      <w:proofErr w:type="spellEnd"/>
      <w:r>
        <w:t xml:space="preserve"> polynomial to channels you have verified are line-free from the audit in Step 1 (contaminant list) and from a first-pass inspection of the spatially integrated spectrum. Record the fit ranges.</w:t>
      </w:r>
    </w:p>
    <w:p w14:paraId="0A7852E1" w14:textId="77777777" w:rsidR="00E76A90" w:rsidRDefault="00000000">
      <w:pPr>
        <w:ind w:left="-5"/>
      </w:pPr>
      <w:r>
        <w:rPr>
          <w:b/>
        </w:rPr>
        <w:t xml:space="preserve">Verification path. </w:t>
      </w:r>
      <w:r>
        <w:t xml:space="preserve">Re-image the same three </w:t>
      </w:r>
      <w:proofErr w:type="spellStart"/>
      <w:r>
        <w:t>spws</w:t>
      </w:r>
      <w:proofErr w:type="spellEnd"/>
      <w:r>
        <w:t xml:space="preserve"> from the calibrated MSs with ‘</w:t>
      </w:r>
      <w:proofErr w:type="spellStart"/>
      <w:proofErr w:type="gramStart"/>
      <w:r>
        <w:t>tclean</w:t>
      </w:r>
      <w:proofErr w:type="spellEnd"/>
      <w:r>
        <w:t>‘</w:t>
      </w:r>
      <w:proofErr w:type="gramEnd"/>
      <w:r>
        <w:t>, using identical settings for both tunings: same ‘</w:t>
      </w:r>
      <w:proofErr w:type="gramStart"/>
      <w:r>
        <w:t>cell‘ and</w:t>
      </w:r>
      <w:proofErr w:type="gramEnd"/>
      <w:r>
        <w:t xml:space="preserve"> ‘</w:t>
      </w:r>
      <w:proofErr w:type="spellStart"/>
      <w:proofErr w:type="gramStart"/>
      <w:r>
        <w:t>imsize</w:t>
      </w:r>
      <w:proofErr w:type="spellEnd"/>
      <w:r>
        <w:t>‘ in</w:t>
      </w:r>
      <w:proofErr w:type="gramEnd"/>
      <w:r>
        <w:t xml:space="preserve"> angular units, same Briggs ‘</w:t>
      </w:r>
      <w:proofErr w:type="gramStart"/>
      <w:r>
        <w:t>robust‘</w:t>
      </w:r>
      <w:proofErr w:type="gramEnd"/>
      <w:r>
        <w:t>, same ‘</w:t>
      </w:r>
      <w:proofErr w:type="spellStart"/>
      <w:r>
        <w:t>specmode</w:t>
      </w:r>
      <w:proofErr w:type="spellEnd"/>
      <w:r>
        <w:t>=’cube</w:t>
      </w:r>
      <w:proofErr w:type="gramStart"/>
      <w:r>
        <w:t>’‘ with</w:t>
      </w:r>
      <w:proofErr w:type="gramEnd"/>
      <w:r>
        <w:t xml:space="preserve"> ‘</w:t>
      </w:r>
      <w:proofErr w:type="spellStart"/>
      <w:proofErr w:type="gramStart"/>
      <w:r>
        <w:t>restfreq</w:t>
      </w:r>
      <w:proofErr w:type="spellEnd"/>
      <w:r>
        <w:t>‘ set</w:t>
      </w:r>
      <w:proofErr w:type="gramEnd"/>
      <w:r>
        <w:t xml:space="preserve"> explicitly to your Step-1 verified value, ‘outframe=’LSRK</w:t>
      </w:r>
      <w:proofErr w:type="gramStart"/>
      <w:r>
        <w:t>’‘</w:t>
      </w:r>
      <w:proofErr w:type="gramEnd"/>
      <w:r>
        <w:t>, ‘</w:t>
      </w:r>
      <w:proofErr w:type="spellStart"/>
      <w:r>
        <w:t>perchanweightdensity</w:t>
      </w:r>
      <w:proofErr w:type="spellEnd"/>
      <w:r>
        <w:t>=</w:t>
      </w:r>
      <w:proofErr w:type="gramStart"/>
      <w:r>
        <w:t>True‘</w:t>
      </w:r>
      <w:proofErr w:type="gramEnd"/>
      <w:r>
        <w:t>, and shallow cleaning to a threshold of ~3</w:t>
      </w:r>
      <w:r>
        <w:rPr>
          <w:rFonts w:ascii="Cambria" w:eastAsia="Cambria" w:hAnsi="Cambria" w:cs="Cambria"/>
        </w:rPr>
        <w:t xml:space="preserve">× </w:t>
      </w:r>
      <w:r>
        <w:t xml:space="preserve">the </w:t>
      </w:r>
      <w:proofErr w:type="spellStart"/>
      <w:r>
        <w:t>perchannel</w:t>
      </w:r>
      <w:proofErr w:type="spellEnd"/>
      <w:r>
        <w:t xml:space="preserve"> rms with a hand-drawn or auto-</w:t>
      </w:r>
      <w:proofErr w:type="spellStart"/>
      <w:r>
        <w:t>multithresh</w:t>
      </w:r>
      <w:proofErr w:type="spellEnd"/>
      <w:r>
        <w:t xml:space="preserve"> mask. </w:t>
      </w:r>
      <w:r>
        <w:rPr>
          <w:b/>
        </w:rPr>
        <w:t xml:space="preserve">Impose a common </w:t>
      </w:r>
      <w:proofErr w:type="spellStart"/>
      <w:r>
        <w:rPr>
          <w:b/>
        </w:rPr>
        <w:t>uv</w:t>
      </w:r>
      <w:proofErr w:type="spellEnd"/>
      <w:r>
        <w:rPr>
          <w:b/>
        </w:rPr>
        <w:t xml:space="preserve">-range in </w:t>
      </w:r>
      <w:proofErr w:type="spellStart"/>
      <w:r>
        <w:rPr>
          <w:b/>
        </w:rPr>
        <w:t>k</w:t>
      </w:r>
      <w:r>
        <w:rPr>
          <w:rFonts w:ascii="Cambria" w:eastAsia="Cambria" w:hAnsi="Cambria" w:cs="Cambria"/>
          <w:i/>
        </w:rPr>
        <w:t>λ</w:t>
      </w:r>
      <w:proofErr w:type="spellEnd"/>
      <w:r>
        <w:rPr>
          <w:rFonts w:ascii="Cambria" w:eastAsia="Cambria" w:hAnsi="Cambria" w:cs="Cambria"/>
          <w:i/>
        </w:rPr>
        <w:t xml:space="preserve"> </w:t>
      </w:r>
      <w:r>
        <w:rPr>
          <w:b/>
        </w:rPr>
        <w:t xml:space="preserve">across both tunings. </w:t>
      </w:r>
      <w:r>
        <w:t xml:space="preserve">The two tunings are ~304 and ~347 GHz; the same physical ACA baselines correspond to different spatial frequencies at the two, so without a matched </w:t>
      </w:r>
      <w:proofErr w:type="spellStart"/>
      <w:r>
        <w:t>uv</w:t>
      </w:r>
      <w:proofErr w:type="spellEnd"/>
      <w:r>
        <w:t xml:space="preserve">-range in wavelengths the two cubes are sensitive to different angular </w:t>
      </w:r>
      <w:proofErr w:type="gramStart"/>
      <w:r>
        <w:t>scales</w:t>
      </w:r>
      <w:proofErr w:type="gramEnd"/>
      <w:r>
        <w:t xml:space="preserve"> and your ratio inherits a spatial-filtering bias. Set the range from the intersection of the two </w:t>
      </w:r>
      <w:proofErr w:type="spellStart"/>
      <w:r>
        <w:t>uv</w:t>
      </w:r>
      <w:proofErr w:type="spellEnd"/>
      <w:r>
        <w:t>-coverages. Compare the verification-path integrated intensities against the QA2-path values for two or three apertures; agreement within the calibration uncertainty is your justification for using whichever set you adopt.</w:t>
      </w:r>
    </w:p>
    <w:p w14:paraId="4510251B" w14:textId="77777777" w:rsidR="00E76A90" w:rsidRDefault="00000000">
      <w:pPr>
        <w:spacing w:after="308"/>
        <w:ind w:left="-5"/>
      </w:pPr>
      <w:r>
        <w:t>Apply the primary-beam correction (‘</w:t>
      </w:r>
      <w:proofErr w:type="spellStart"/>
      <w:proofErr w:type="gramStart"/>
      <w:r>
        <w:t>impbcor</w:t>
      </w:r>
      <w:proofErr w:type="spellEnd"/>
      <w:r>
        <w:t>‘</w:t>
      </w:r>
      <w:proofErr w:type="gramEnd"/>
      <w:r>
        <w:t xml:space="preserve">, or divide by </w:t>
      </w:r>
      <w:proofErr w:type="gramStart"/>
      <w:r>
        <w:t>‘.pb</w:t>
      </w:r>
      <w:proofErr w:type="gramEnd"/>
      <w:r>
        <w:t xml:space="preserve">‘) </w:t>
      </w:r>
      <w:r>
        <w:rPr>
          <w:i/>
        </w:rPr>
        <w:t xml:space="preserve">before </w:t>
      </w:r>
      <w:r>
        <w:t xml:space="preserve">any photometry, and keep the uncorrected cube for noise measurement — the noise in a </w:t>
      </w:r>
      <w:proofErr w:type="spellStart"/>
      <w:r>
        <w:t>pbcor</w:t>
      </w:r>
      <w:proofErr w:type="spellEnd"/>
      <w:r>
        <w:t xml:space="preserve"> cube is position-dependent.</w:t>
      </w:r>
    </w:p>
    <w:p w14:paraId="176C4C76" w14:textId="77777777" w:rsidR="00E76A90" w:rsidRDefault="00000000">
      <w:pPr>
        <w:pStyle w:val="Heading1"/>
        <w:tabs>
          <w:tab w:val="center" w:pos="1697"/>
        </w:tabs>
        <w:ind w:left="-15" w:firstLine="0"/>
      </w:pPr>
      <w:r>
        <w:t>0.8</w:t>
      </w:r>
      <w:r>
        <w:tab/>
        <w:t>4. Homogenization</w:t>
      </w:r>
    </w:p>
    <w:p w14:paraId="30BE0191" w14:textId="77777777" w:rsidR="00E76A90" w:rsidRDefault="00000000">
      <w:pPr>
        <w:ind w:left="-5"/>
      </w:pPr>
      <w:r>
        <w:t>This is the methodological core of the thesis. Do it in this order and check the result after each stage.</w:t>
      </w:r>
    </w:p>
    <w:p w14:paraId="044EE215" w14:textId="77777777" w:rsidR="00E76A90" w:rsidRDefault="00000000">
      <w:pPr>
        <w:ind w:left="-5"/>
      </w:pPr>
      <w:r>
        <w:t xml:space="preserve">1. </w:t>
      </w:r>
      <w:r>
        <w:rPr>
          <w:b/>
        </w:rPr>
        <w:t xml:space="preserve">Common beam. </w:t>
      </w:r>
      <w:r>
        <w:t xml:space="preserve">Read every restoring beam from the </w:t>
      </w:r>
      <w:proofErr w:type="gramStart"/>
      <w:r>
        <w:t>headers (‘</w:t>
      </w:r>
      <w:proofErr w:type="spellStart"/>
      <w:r>
        <w:t>imhead</w:t>
      </w:r>
      <w:proofErr w:type="spellEnd"/>
      <w:r>
        <w:t>‘</w:t>
      </w:r>
      <w:proofErr w:type="gramEnd"/>
      <w:r>
        <w:t>). The listed resolutions across the two tunings span 3.195</w:t>
      </w:r>
      <w:r>
        <w:rPr>
          <w:rFonts w:ascii="Cambria" w:eastAsia="Cambria" w:hAnsi="Cambria" w:cs="Cambria"/>
          <w:sz w:val="16"/>
        </w:rPr>
        <w:t xml:space="preserve">′′ </w:t>
      </w:r>
      <w:r>
        <w:t xml:space="preserve">to </w:t>
      </w:r>
      <w:proofErr w:type="gramStart"/>
      <w:r>
        <w:t>4.582</w:t>
      </w:r>
      <w:r>
        <w:rPr>
          <w:rFonts w:ascii="Cambria" w:eastAsia="Cambria" w:hAnsi="Cambria" w:cs="Cambria"/>
          <w:sz w:val="16"/>
        </w:rPr>
        <w:t xml:space="preserve">′′ </w:t>
      </w:r>
      <w:r>
        <w:t>(</w:t>
      </w:r>
      <w:proofErr w:type="gramEnd"/>
      <w:r>
        <w:t xml:space="preserve">the </w:t>
      </w:r>
      <w:proofErr w:type="gramStart"/>
      <w:r>
        <w:t>coarsest</w:t>
      </w:r>
      <w:proofErr w:type="gramEnd"/>
      <w:r>
        <w:t xml:space="preserve"> being IRAS 04166+2706 in </w:t>
      </w:r>
      <w:proofErr w:type="gramStart"/>
      <w:r>
        <w:t>T300, ‘</w:t>
      </w:r>
      <w:proofErr w:type="spellStart"/>
      <w:r>
        <w:t>Xfcf</w:t>
      </w:r>
      <w:proofErr w:type="spellEnd"/>
      <w:r>
        <w:t>‘</w:t>
      </w:r>
      <w:proofErr w:type="gramEnd"/>
      <w:r>
        <w:t>). Choose a single circular target beam that is comfortably coarser than all of them — 5.0</w:t>
      </w:r>
      <w:r>
        <w:rPr>
          <w:rFonts w:ascii="Cambria" w:eastAsia="Cambria" w:hAnsi="Cambria" w:cs="Cambria"/>
          <w:sz w:val="16"/>
        </w:rPr>
        <w:t xml:space="preserve">′′ </w:t>
      </w:r>
      <w:r>
        <w:t>is the natural choice — and convolve every cube to it with ‘</w:t>
      </w:r>
      <w:proofErr w:type="spellStart"/>
      <w:proofErr w:type="gramStart"/>
      <w:r>
        <w:t>imsmooth</w:t>
      </w:r>
      <w:proofErr w:type="spellEnd"/>
      <w:r>
        <w:t>(</w:t>
      </w:r>
      <w:proofErr w:type="gramEnd"/>
      <w:r>
        <w:t xml:space="preserve">kernel=’gauss’, </w:t>
      </w:r>
      <w:proofErr w:type="spellStart"/>
      <w:r>
        <w:t>targetres</w:t>
      </w:r>
      <w:proofErr w:type="spellEnd"/>
      <w:r>
        <w:t xml:space="preserve">=True, </w:t>
      </w:r>
      <w:proofErr w:type="gramStart"/>
      <w:r>
        <w:t>...)‘</w:t>
      </w:r>
      <w:proofErr w:type="gramEnd"/>
      <w:r>
        <w:t xml:space="preserve"> or ‘</w:t>
      </w:r>
      <w:proofErr w:type="spellStart"/>
      <w:r>
        <w:t>spectral_</w:t>
      </w:r>
      <w:proofErr w:type="gramStart"/>
      <w:r>
        <w:t>cube.convolve</w:t>
      </w:r>
      <w:proofErr w:type="gramEnd"/>
      <w:r>
        <w:t>_</w:t>
      </w:r>
      <w:proofErr w:type="gramStart"/>
      <w:r>
        <w:t>to</w:t>
      </w:r>
      <w:proofErr w:type="spellEnd"/>
      <w:r>
        <w:t>‘</w:t>
      </w:r>
      <w:proofErr w:type="gramEnd"/>
      <w:r>
        <w:t xml:space="preserve">. Verify the output header beam is exactly your target in every cube. Never convolve to a beam smaller than any input. 2. </w:t>
      </w:r>
      <w:r>
        <w:rPr>
          <w:b/>
        </w:rPr>
        <w:t xml:space="preserve">Common spatial grid. </w:t>
      </w:r>
      <w:r>
        <w:t xml:space="preserve">Build one template image per source </w:t>
      </w:r>
      <w:r>
        <w:lastRenderedPageBreak/>
        <w:t xml:space="preserve">(a tangent-plane grid </w:t>
      </w:r>
      <w:proofErr w:type="spellStart"/>
      <w:r>
        <w:t>centred</w:t>
      </w:r>
      <w:proofErr w:type="spellEnd"/>
      <w:r>
        <w:t xml:space="preserve"> on the T345 pointing </w:t>
      </w:r>
      <w:proofErr w:type="spellStart"/>
      <w:r>
        <w:t>centre</w:t>
      </w:r>
      <w:proofErr w:type="spellEnd"/>
      <w:r>
        <w:t>, with a cell of ~1</w:t>
      </w:r>
      <w:r>
        <w:rPr>
          <w:rFonts w:ascii="Cambria" w:eastAsia="Cambria" w:hAnsi="Cambria" w:cs="Cambria"/>
          <w:sz w:val="16"/>
        </w:rPr>
        <w:t xml:space="preserve">′′ </w:t>
      </w:r>
      <w:r>
        <w:t>so the 5</w:t>
      </w:r>
      <w:r>
        <w:rPr>
          <w:rFonts w:ascii="Cambria" w:eastAsia="Cambria" w:hAnsi="Cambria" w:cs="Cambria"/>
          <w:sz w:val="16"/>
        </w:rPr>
        <w:t xml:space="preserve">′′ </w:t>
      </w:r>
      <w:r>
        <w:t>beam is well sampled) and ‘</w:t>
      </w:r>
      <w:proofErr w:type="spellStart"/>
      <w:proofErr w:type="gramStart"/>
      <w:r>
        <w:t>imregrid</w:t>
      </w:r>
      <w:proofErr w:type="spellEnd"/>
      <w:r>
        <w:t>‘ both</w:t>
      </w:r>
      <w:proofErr w:type="gramEnd"/>
      <w:r>
        <w:t xml:space="preserve"> tunings onto it. Sinc/linear interpolation is fine at this oversampling; state which you used. 3. </w:t>
      </w:r>
      <w:r>
        <w:rPr>
          <w:b/>
        </w:rPr>
        <w:t xml:space="preserve">Common velocity grid. </w:t>
      </w:r>
      <w:r>
        <w:t>Convert both cubes to LSRK velocity with the verified rest frequencies (‘</w:t>
      </w:r>
      <w:proofErr w:type="spellStart"/>
      <w:proofErr w:type="gramStart"/>
      <w:r>
        <w:t>imreframe</w:t>
      </w:r>
      <w:proofErr w:type="spellEnd"/>
      <w:r>
        <w:t>‘ if</w:t>
      </w:r>
      <w:proofErr w:type="gramEnd"/>
      <w:r>
        <w:t xml:space="preserve"> needed, then ‘</w:t>
      </w:r>
      <w:proofErr w:type="spellStart"/>
      <w:proofErr w:type="gramStart"/>
      <w:r>
        <w:t>imregrid</w:t>
      </w:r>
      <w:proofErr w:type="spellEnd"/>
      <w:r>
        <w:t>‘ on</w:t>
      </w:r>
      <w:proofErr w:type="gramEnd"/>
      <w:r>
        <w:t xml:space="preserve"> the spectral axis, or ‘</w:t>
      </w:r>
      <w:proofErr w:type="spellStart"/>
      <w:r>
        <w:t>spectral_</w:t>
      </w:r>
      <w:proofErr w:type="gramStart"/>
      <w:r>
        <w:t>cube.spectral</w:t>
      </w:r>
      <w:proofErr w:type="gramEnd"/>
      <w:r>
        <w:t>_</w:t>
      </w:r>
      <w:proofErr w:type="gramStart"/>
      <w:r>
        <w:t>interpolate</w:t>
      </w:r>
      <w:proofErr w:type="spellEnd"/>
      <w:r>
        <w:t>‘</w:t>
      </w:r>
      <w:proofErr w:type="gramEnd"/>
      <w:r>
        <w:t xml:space="preserve">). The two tunings are listed at 1.078 and 0.943 km/s; </w:t>
      </w:r>
      <w:proofErr w:type="spellStart"/>
      <w:r>
        <w:t>regrid</w:t>
      </w:r>
      <w:proofErr w:type="spellEnd"/>
      <w:r>
        <w:t xml:space="preserve"> </w:t>
      </w:r>
      <w:r>
        <w:rPr>
          <w:b/>
        </w:rPr>
        <w:t xml:space="preserve">both </w:t>
      </w:r>
      <w:r>
        <w:t xml:space="preserve">to a single coarser grid — do not </w:t>
      </w:r>
      <w:proofErr w:type="spellStart"/>
      <w:r>
        <w:t>upsample</w:t>
      </w:r>
      <w:proofErr w:type="spellEnd"/>
      <w:r>
        <w:t xml:space="preserve"> the </w:t>
      </w:r>
      <w:proofErr w:type="gramStart"/>
      <w:r>
        <w:t>coarser</w:t>
      </w:r>
      <w:proofErr w:type="gramEnd"/>
      <w:r>
        <w:t xml:space="preserve"> one. Use 2.0 km/s channels for the SiO ratio work (this buys S/N and makes the channel-correlation bookkeeping simpler) and retain a 1.5 km/s version of CO 3–2 for kinematics. Smooth spectrally before </w:t>
      </w:r>
      <w:proofErr w:type="gramStart"/>
      <w:r>
        <w:t>decimating (‘</w:t>
      </w:r>
      <w:proofErr w:type="spellStart"/>
      <w:r>
        <w:t>specsmooth</w:t>
      </w:r>
      <w:proofErr w:type="spellEnd"/>
      <w:r>
        <w:t>‘</w:t>
      </w:r>
      <w:proofErr w:type="gramEnd"/>
      <w:r>
        <w:t xml:space="preserve">) so you are not aliasing. 4. </w:t>
      </w:r>
      <w:r>
        <w:rPr>
          <w:b/>
        </w:rPr>
        <w:t xml:space="preserve">Common brightness units. </w:t>
      </w:r>
      <w:r>
        <w:t>Convert every cube from Jy/beam to K using the Rayleigh–</w:t>
      </w:r>
      <w:proofErr w:type="gramStart"/>
      <w:r>
        <w:t>Jeans</w:t>
      </w:r>
      <w:proofErr w:type="gramEnd"/>
      <w:r>
        <w:t xml:space="preserve"> relation </w:t>
      </w:r>
      <w:proofErr w:type="spellStart"/>
      <w:r>
        <w:t>T_b</w:t>
      </w:r>
      <w:proofErr w:type="spellEnd"/>
      <w:r>
        <w:t xml:space="preserve"> [K] = 1.222</w:t>
      </w:r>
      <w:r>
        <w:rPr>
          <w:rFonts w:ascii="Cambria" w:eastAsia="Cambria" w:hAnsi="Cambria" w:cs="Cambria"/>
        </w:rPr>
        <w:t>×</w:t>
      </w:r>
      <w:r>
        <w:t>10</w:t>
      </w:r>
      <w:r>
        <w:rPr>
          <w:rFonts w:ascii="Cambria" w:eastAsia="Cambria" w:hAnsi="Cambria" w:cs="Cambria"/>
          <w:vertAlign w:val="superscript"/>
        </w:rPr>
        <w:t xml:space="preserve">6 </w:t>
      </w:r>
      <w:r>
        <w:rPr>
          <w:rFonts w:ascii="Cambria" w:eastAsia="Cambria" w:hAnsi="Cambria" w:cs="Cambria"/>
        </w:rPr>
        <w:t xml:space="preserve">× </w:t>
      </w:r>
      <w:r>
        <w:t>I [Jy/beam] / (</w:t>
      </w:r>
      <w:r>
        <w:rPr>
          <w:rFonts w:ascii="Cambria" w:eastAsia="Cambria" w:hAnsi="Cambria" w:cs="Cambria"/>
          <w:i/>
        </w:rPr>
        <w:t>ν</w:t>
      </w:r>
      <w:r>
        <w:t>[GHz]</w:t>
      </w:r>
      <w:r>
        <w:rPr>
          <w:rFonts w:ascii="Cambria" w:eastAsia="Cambria" w:hAnsi="Cambria" w:cs="Cambria"/>
          <w:vertAlign w:val="superscript"/>
        </w:rPr>
        <w:t xml:space="preserve">2 </w:t>
      </w:r>
      <w:proofErr w:type="spellStart"/>
      <w:r>
        <w:rPr>
          <w:rFonts w:ascii="Cambria" w:eastAsia="Cambria" w:hAnsi="Cambria" w:cs="Cambria"/>
          <w:i/>
        </w:rPr>
        <w:t>θ</w:t>
      </w:r>
      <w:r>
        <w:t>_</w:t>
      </w:r>
      <w:proofErr w:type="gramStart"/>
      <w:r>
        <w:t>maj</w:t>
      </w:r>
      <w:proofErr w:type="spellEnd"/>
      <w:r>
        <w:t>[</w:t>
      </w:r>
      <w:proofErr w:type="gramEnd"/>
      <w:r>
        <w:rPr>
          <w:rFonts w:ascii="Cambria" w:eastAsia="Cambria" w:hAnsi="Cambria" w:cs="Cambria"/>
          <w:sz w:val="16"/>
        </w:rPr>
        <w:t>′′</w:t>
      </w:r>
      <w:r>
        <w:t xml:space="preserve">] </w:t>
      </w:r>
      <w:proofErr w:type="spellStart"/>
      <w:r>
        <w:rPr>
          <w:rFonts w:ascii="Cambria" w:eastAsia="Cambria" w:hAnsi="Cambria" w:cs="Cambria"/>
          <w:i/>
        </w:rPr>
        <w:t>θ</w:t>
      </w:r>
      <w:r>
        <w:t>_</w:t>
      </w:r>
      <w:proofErr w:type="gramStart"/>
      <w:r>
        <w:t>min</w:t>
      </w:r>
      <w:proofErr w:type="spellEnd"/>
      <w:r>
        <w:t>[</w:t>
      </w:r>
      <w:proofErr w:type="gramEnd"/>
      <w:r>
        <w:rPr>
          <w:rFonts w:ascii="Cambria" w:eastAsia="Cambria" w:hAnsi="Cambria" w:cs="Cambria"/>
          <w:sz w:val="16"/>
        </w:rPr>
        <w:t>′′</w:t>
      </w:r>
      <w:r>
        <w:t xml:space="preserve">]). </w:t>
      </w:r>
      <w:r>
        <w:rPr>
          <w:b/>
        </w:rPr>
        <w:t xml:space="preserve">This is not cosmetic. </w:t>
      </w:r>
      <w:r>
        <w:t>Because the two SiO transitions are at different frequencies, a flux ratio and a brightness ratio differ by (</w:t>
      </w:r>
      <w:r>
        <w:rPr>
          <w:rFonts w:ascii="Cambria" w:eastAsia="Cambria" w:hAnsi="Cambria" w:cs="Cambria"/>
          <w:i/>
        </w:rPr>
        <w:t>ν</w:t>
      </w:r>
      <w:r>
        <w:rPr>
          <w:rFonts w:ascii="Cambria" w:eastAsia="Cambria" w:hAnsi="Cambria" w:cs="Cambria"/>
          <w:vertAlign w:val="subscript"/>
        </w:rPr>
        <w:t>7</w:t>
      </w:r>
      <w:r>
        <w:rPr>
          <w:rFonts w:ascii="Cambria" w:eastAsia="Cambria" w:hAnsi="Cambria" w:cs="Cambria"/>
          <w:sz w:val="16"/>
        </w:rPr>
        <w:t>−</w:t>
      </w:r>
      <w:r>
        <w:rPr>
          <w:rFonts w:ascii="Cambria" w:eastAsia="Cambria" w:hAnsi="Cambria" w:cs="Cambria"/>
          <w:vertAlign w:val="subscript"/>
        </w:rPr>
        <w:t>6</w:t>
      </w:r>
      <w:r>
        <w:t>/</w:t>
      </w:r>
      <w:r>
        <w:rPr>
          <w:rFonts w:ascii="Cambria" w:eastAsia="Cambria" w:hAnsi="Cambria" w:cs="Cambria"/>
          <w:i/>
        </w:rPr>
        <w:t>ν</w:t>
      </w:r>
      <w:r>
        <w:rPr>
          <w:rFonts w:ascii="Cambria" w:eastAsia="Cambria" w:hAnsi="Cambria" w:cs="Cambria"/>
          <w:vertAlign w:val="subscript"/>
        </w:rPr>
        <w:t>8</w:t>
      </w:r>
      <w:r>
        <w:rPr>
          <w:rFonts w:ascii="Cambria" w:eastAsia="Cambria" w:hAnsi="Cambria" w:cs="Cambria"/>
          <w:sz w:val="16"/>
        </w:rPr>
        <w:t>−7</w:t>
      </w:r>
      <w:r>
        <w:t>)</w:t>
      </w:r>
      <w:r>
        <w:rPr>
          <w:rFonts w:ascii="Cambria" w:eastAsia="Cambria" w:hAnsi="Cambria" w:cs="Cambria"/>
          <w:vertAlign w:val="superscript"/>
        </w:rPr>
        <w:t>2</w:t>
      </w:r>
      <w:r>
        <w:t xml:space="preserve">; doing the excitation analysis in Jy/beam is the single most common way to get this analysis wrong by tens of percent. Do all subsequent arithmetic in K. 5. </w:t>
      </w:r>
      <w:r>
        <w:rPr>
          <w:b/>
        </w:rPr>
        <w:t xml:space="preserve">Flux-scale consistency. </w:t>
      </w:r>
      <w:r>
        <w:t xml:space="preserve">From the weblogs, tabulate the flux calibrator and </w:t>
      </w:r>
      <w:proofErr w:type="gramStart"/>
      <w:r>
        <w:t>adopted</w:t>
      </w:r>
      <w:proofErr w:type="gramEnd"/>
      <w:r>
        <w:t xml:space="preserve"> flux density per member OUS. Where the same calibrator and model were used for both tunings, the ~10% Band 7 absolute calibration uncertainty partially cancels in the SiO ratio; where they differ, it does not. Carry the correlated and uncorrelated parts separately (Step 8). 6. </w:t>
      </w:r>
      <w:r>
        <w:rPr>
          <w:b/>
        </w:rPr>
        <w:t xml:space="preserve">Common footprint mask. </w:t>
      </w:r>
      <w:r>
        <w:t>Build a per-source mask that is ‘</w:t>
      </w:r>
      <w:proofErr w:type="gramStart"/>
      <w:r>
        <w:t>True‘ only</w:t>
      </w:r>
      <w:proofErr w:type="gramEnd"/>
      <w:r>
        <w:t xml:space="preserve"> where the primary-beam response exceeds 0.5 in </w:t>
      </w:r>
      <w:r>
        <w:rPr>
          <w:b/>
        </w:rPr>
        <w:t xml:space="preserve">both </w:t>
      </w:r>
      <w:r>
        <w:t xml:space="preserve">tunings, after </w:t>
      </w:r>
      <w:proofErr w:type="spellStart"/>
      <w:r>
        <w:t>regridding</w:t>
      </w:r>
      <w:proofErr w:type="spellEnd"/>
      <w:r>
        <w:t>. For HH 46 this will be a markedly smaller region than for the other sources, because of the pointing offset found in Step 2. All apertures must lie inside this mask.</w:t>
      </w:r>
    </w:p>
    <w:p w14:paraId="61440144" w14:textId="77777777" w:rsidR="00E76A90" w:rsidRDefault="00000000">
      <w:pPr>
        <w:spacing w:after="308"/>
        <w:ind w:left="-5"/>
      </w:pPr>
      <w:r>
        <w:t xml:space="preserve">Save the homogenized cubes as FITS with a documented header history. These are a thesis </w:t>
      </w:r>
      <w:proofErr w:type="gramStart"/>
      <w:r>
        <w:t>deliverable in their own right</w:t>
      </w:r>
      <w:proofErr w:type="gramEnd"/>
      <w:r>
        <w:t>.</w:t>
      </w:r>
    </w:p>
    <w:p w14:paraId="08F16C0B" w14:textId="77777777" w:rsidR="00E76A90" w:rsidRDefault="00000000">
      <w:pPr>
        <w:pStyle w:val="Heading1"/>
        <w:tabs>
          <w:tab w:val="center" w:pos="1887"/>
        </w:tabs>
        <w:ind w:left="-15" w:firstLine="0"/>
      </w:pPr>
      <w:r>
        <w:t>0.9</w:t>
      </w:r>
      <w:r>
        <w:tab/>
        <w:t>5. Aperture definition</w:t>
      </w:r>
    </w:p>
    <w:p w14:paraId="30CA8969" w14:textId="77777777" w:rsidR="00E76A90" w:rsidRDefault="00000000">
      <w:pPr>
        <w:ind w:left="-5"/>
      </w:pPr>
      <w:r>
        <w:t xml:space="preserve">Three apertures per source, </w:t>
      </w:r>
      <w:proofErr w:type="gramStart"/>
      <w:r>
        <w:t>each a</w:t>
      </w:r>
      <w:proofErr w:type="gramEnd"/>
      <w:r>
        <w:t xml:space="preserve"> circle of diameter equal to the common beam (</w:t>
      </w:r>
      <w:proofErr w:type="gramStart"/>
      <w:r>
        <w:t>5</w:t>
      </w:r>
      <w:r>
        <w:rPr>
          <w:rFonts w:ascii="Cambria" w:eastAsia="Cambria" w:hAnsi="Cambria" w:cs="Cambria"/>
          <w:sz w:val="16"/>
        </w:rPr>
        <w:t>′′</w:t>
      </w:r>
      <w:r>
        <w:t>)</w:t>
      </w:r>
      <w:proofErr w:type="gramEnd"/>
      <w:r>
        <w:t>, all inside the Step-4.6 mask:</w:t>
      </w:r>
    </w:p>
    <w:p w14:paraId="65064973" w14:textId="77777777" w:rsidR="00E76A90" w:rsidRDefault="00000000">
      <w:pPr>
        <w:numPr>
          <w:ilvl w:val="0"/>
          <w:numId w:val="2"/>
        </w:numPr>
        <w:ind w:left="546" w:hanging="279"/>
      </w:pPr>
      <w:r>
        <w:rPr>
          <w:b/>
        </w:rPr>
        <w:t xml:space="preserve">Aperture C (driving source): </w:t>
      </w:r>
      <w:proofErr w:type="spellStart"/>
      <w:r>
        <w:t>centred</w:t>
      </w:r>
      <w:proofErr w:type="spellEnd"/>
      <w:r>
        <w:t xml:space="preserve"> on the continuum peak from the QA2 aggregate continuum image of the T345 member OUS (continuum sensitivities in this project run ~0.26–0.73 </w:t>
      </w:r>
      <w:proofErr w:type="spellStart"/>
      <w:r>
        <w:t>mJy</w:t>
      </w:r>
      <w:proofErr w:type="spellEnd"/>
      <w:r>
        <w:t>/beam, adequate for centroiding a detected source, and the annotation is explicit that the continuum here supports source/driving-position identification rather than dust modelling). If no continuum source is detected above 5</w:t>
      </w:r>
      <w:r>
        <w:rPr>
          <w:rFonts w:ascii="Cambria" w:eastAsia="Cambria" w:hAnsi="Cambria" w:cs="Cambria"/>
          <w:i/>
        </w:rPr>
        <w:t xml:space="preserve">σ </w:t>
      </w:r>
      <w:r>
        <w:t>inside the mask, fall back to the peak of the low-velocity CO 3–2 moment-0 map and say so.</w:t>
      </w:r>
    </w:p>
    <w:p w14:paraId="3D3CA57B" w14:textId="77777777" w:rsidR="00E76A90" w:rsidRDefault="00000000">
      <w:pPr>
        <w:numPr>
          <w:ilvl w:val="0"/>
          <w:numId w:val="2"/>
        </w:numPr>
        <w:ind w:left="546" w:hanging="279"/>
      </w:pPr>
      <w:r>
        <w:rPr>
          <w:b/>
        </w:rPr>
        <w:t xml:space="preserve">Apertures B and R (blue and red lobes): </w:t>
      </w:r>
      <w:proofErr w:type="spellStart"/>
      <w:r>
        <w:t>centred</w:t>
      </w:r>
      <w:proofErr w:type="spellEnd"/>
      <w:r>
        <w:t xml:space="preserve"> on the peaks of the high-velocity blue and red CO 3–2 moment-0 maps (velocity intervals from Step 6). Require the aperture </w:t>
      </w:r>
      <w:proofErr w:type="spellStart"/>
      <w:r>
        <w:t>centre</w:t>
      </w:r>
      <w:proofErr w:type="spellEnd"/>
      <w:r>
        <w:t xml:space="preserve"> to be at least one beam from the aperture-C </w:t>
      </w:r>
      <w:proofErr w:type="spellStart"/>
      <w:r>
        <w:t>centre</w:t>
      </w:r>
      <w:proofErr w:type="spellEnd"/>
      <w:r>
        <w:t xml:space="preserve"> so the three are quasi-independent; if the lobes are unresolved at 5</w:t>
      </w:r>
      <w:r>
        <w:rPr>
          <w:rFonts w:ascii="Cambria" w:eastAsia="Cambria" w:hAnsi="Cambria" w:cs="Cambria"/>
          <w:sz w:val="16"/>
        </w:rPr>
        <w:t xml:space="preserve">′′ </w:t>
      </w:r>
      <w:r>
        <w:t xml:space="preserve">and no distinct peak exists, place B and R at the </w:t>
      </w:r>
      <w:r>
        <w:rPr>
          <w:rFonts w:ascii="Cambria" w:eastAsia="Cambria" w:hAnsi="Cambria" w:cs="Cambria"/>
        </w:rPr>
        <w:t>±</w:t>
      </w:r>
      <w:r>
        <w:t>1-beam positions along the position angle of maximum high-velocity CO elongation and record that this source’s lobes are spatially unresolved.</w:t>
      </w:r>
    </w:p>
    <w:p w14:paraId="5AA53E51" w14:textId="77777777" w:rsidR="00E76A90" w:rsidRDefault="00000000">
      <w:pPr>
        <w:spacing w:after="308"/>
        <w:ind w:left="-5"/>
      </w:pPr>
      <w:r>
        <w:t xml:space="preserve">Record all aperture </w:t>
      </w:r>
      <w:proofErr w:type="spellStart"/>
      <w:r>
        <w:t>centres</w:t>
      </w:r>
      <w:proofErr w:type="spellEnd"/>
      <w:r>
        <w:t xml:space="preserve"> in a table, with the primary-beam response of each tuning at each </w:t>
      </w:r>
      <w:proofErr w:type="spellStart"/>
      <w:r>
        <w:t>centre</w:t>
      </w:r>
      <w:proofErr w:type="spellEnd"/>
      <w:r>
        <w:t>. Extract spectra with ‘</w:t>
      </w:r>
      <w:proofErr w:type="spellStart"/>
      <w:proofErr w:type="gramStart"/>
      <w:r>
        <w:t>specflux</w:t>
      </w:r>
      <w:proofErr w:type="spellEnd"/>
      <w:r>
        <w:t>‘ or</w:t>
      </w:r>
      <w:proofErr w:type="gramEnd"/>
      <w:r>
        <w:t xml:space="preserve"> by masked averaging over the aperture in the K-unit cubes; because the aperture is one beam across, an average (not a sum) is the right statistic and is directly comparable between lines.</w:t>
      </w:r>
    </w:p>
    <w:p w14:paraId="10549314" w14:textId="77777777" w:rsidR="00E76A90" w:rsidRDefault="00000000">
      <w:pPr>
        <w:pStyle w:val="Heading1"/>
        <w:tabs>
          <w:tab w:val="center" w:pos="3203"/>
        </w:tabs>
        <w:ind w:left="-15" w:firstLine="0"/>
      </w:pPr>
      <w:r>
        <w:t>0.10</w:t>
      </w:r>
      <w:r>
        <w:tab/>
        <w:t>6. Systemic velocity and velocity intervals</w:t>
      </w:r>
    </w:p>
    <w:p w14:paraId="179B1E17" w14:textId="77777777" w:rsidR="00E76A90" w:rsidRDefault="00000000">
      <w:pPr>
        <w:spacing w:after="312"/>
        <w:ind w:left="-5"/>
      </w:pPr>
      <w:r>
        <w:t xml:space="preserve">1. </w:t>
      </w:r>
      <w:r>
        <w:rPr>
          <w:b/>
        </w:rPr>
        <w:t xml:space="preserve">Systemic velocity. </w:t>
      </w:r>
      <w:r>
        <w:t xml:space="preserve">For each source, take the CO 3–2 spectrum in aperture C, and define </w:t>
      </w:r>
      <w:proofErr w:type="spellStart"/>
      <w:r>
        <w:t>v_sys</w:t>
      </w:r>
      <w:proofErr w:type="spellEnd"/>
      <w:r>
        <w:t xml:space="preserve"> as the centroid of the narrow ambient component (fit a single Gaussian to the low-velocity core, masking the </w:t>
      </w:r>
      <w:r>
        <w:lastRenderedPageBreak/>
        <w:t xml:space="preserve">wings). Cross-check against a narrow dense-gas line in the same tuning if one is well detected. Report </w:t>
      </w:r>
      <w:proofErr w:type="spellStart"/>
      <w:r>
        <w:t>v_sys</w:t>
      </w:r>
      <w:proofErr w:type="spellEnd"/>
      <w:r>
        <w:t xml:space="preserve"> with its fit uncertainty. Do not import </w:t>
      </w:r>
      <w:proofErr w:type="spellStart"/>
      <w:r>
        <w:t>v_sys</w:t>
      </w:r>
      <w:proofErr w:type="spellEnd"/>
      <w:r>
        <w:t xml:space="preserve"> from the literature; you have the data, and one of your sources may sit at a substantially non-local velocity, which the audit will reveal. 2. </w:t>
      </w:r>
      <w:r>
        <w:rPr>
          <w:b/>
        </w:rPr>
        <w:t xml:space="preserve">Velocity intervals from CO itself. </w:t>
      </w:r>
      <w:r>
        <w:t xml:space="preserve">In each aperture, define, relative to </w:t>
      </w:r>
      <w:proofErr w:type="spellStart"/>
      <w:r>
        <w:t>v_sys</w:t>
      </w:r>
      <w:proofErr w:type="spellEnd"/>
      <w:r>
        <w:t xml:space="preserve">: a </w:t>
      </w:r>
      <w:r>
        <w:rPr>
          <w:b/>
        </w:rPr>
        <w:t xml:space="preserve">low-velocity </w:t>
      </w:r>
      <w:r>
        <w:t xml:space="preserve">interval |v - </w:t>
      </w:r>
      <w:proofErr w:type="spellStart"/>
      <w:r>
        <w:t>v_sys</w:t>
      </w:r>
      <w:proofErr w:type="spellEnd"/>
      <w:r>
        <w:t xml:space="preserve">| &lt; </w:t>
      </w:r>
      <w:proofErr w:type="spellStart"/>
      <w:r>
        <w:t>v_lo</w:t>
      </w:r>
      <w:proofErr w:type="spellEnd"/>
      <w:r>
        <w:t xml:space="preserve"> and a </w:t>
      </w:r>
      <w:r>
        <w:rPr>
          <w:b/>
        </w:rPr>
        <w:t xml:space="preserve">high-velocity </w:t>
      </w:r>
      <w:r>
        <w:t xml:space="preserve">interval </w:t>
      </w:r>
      <w:proofErr w:type="spellStart"/>
      <w:r>
        <w:t>v_lo</w:t>
      </w:r>
      <w:proofErr w:type="spellEnd"/>
      <w:r>
        <w:t xml:space="preserve"> &lt; |v - </w:t>
      </w:r>
      <w:proofErr w:type="spellStart"/>
      <w:r>
        <w:t>v_sys</w:t>
      </w:r>
      <w:proofErr w:type="spellEnd"/>
      <w:r>
        <w:t xml:space="preserve">| &lt; </w:t>
      </w:r>
      <w:proofErr w:type="spellStart"/>
      <w:r>
        <w:t>v_max</w:t>
      </w:r>
      <w:proofErr w:type="spellEnd"/>
      <w:r>
        <w:t xml:space="preserve">, with </w:t>
      </w:r>
      <w:proofErr w:type="spellStart"/>
      <w:r>
        <w:t>v_lo</w:t>
      </w:r>
      <w:proofErr w:type="spellEnd"/>
      <w:r>
        <w:t xml:space="preserve"> set where the CO 3–2 profile in that aperture transitions from the ambient core to the wing (identify it as the velocity at which the profile departs from the fitted ambient Gaussian by more than 3</w:t>
      </w:r>
      <w:r>
        <w:rPr>
          <w:rFonts w:ascii="Cambria" w:eastAsia="Cambria" w:hAnsi="Cambria" w:cs="Cambria"/>
          <w:i/>
        </w:rPr>
        <w:t>σ</w:t>
      </w:r>
      <w:r>
        <w:t xml:space="preserve">). Apply the </w:t>
      </w:r>
      <w:r>
        <w:rPr>
          <w:i/>
        </w:rPr>
        <w:t xml:space="preserve">same </w:t>
      </w:r>
      <w:r>
        <w:t xml:space="preserve">intervals to SiO 7–6 and SiO 8–7 in that aperture. This is the point of the exercise: matched velocity intervals across all three lines, defined by the data and not by a literature convention. 3. </w:t>
      </w:r>
      <w:proofErr w:type="spellStart"/>
      <w:r>
        <w:rPr>
          <w:b/>
        </w:rPr>
        <w:t>v_max</w:t>
      </w:r>
      <w:proofErr w:type="spellEnd"/>
      <w:r>
        <w:rPr>
          <w:b/>
        </w:rPr>
        <w:t xml:space="preserve">, the ranking variable. </w:t>
      </w:r>
      <w:r>
        <w:t xml:space="preserve">Measure the maximum CO 3–2 velocity extent per source in a way that is uniform across sources of differing sensitivity. Convert the quoted line sensitivities (7.2–20.2 </w:t>
      </w:r>
      <w:proofErr w:type="spellStart"/>
      <w:r>
        <w:t>mJy</w:t>
      </w:r>
      <w:proofErr w:type="spellEnd"/>
      <w:r>
        <w:t>/beam at 10 km/s) into brightness temperature in the common 5</w:t>
      </w:r>
      <w:r>
        <w:rPr>
          <w:rFonts w:ascii="Cambria" w:eastAsia="Cambria" w:hAnsi="Cambria" w:cs="Cambria"/>
          <w:sz w:val="16"/>
        </w:rPr>
        <w:t xml:space="preserve">′′ </w:t>
      </w:r>
      <w:r>
        <w:t xml:space="preserve">beam with the formula in Step 4.4, take the </w:t>
      </w:r>
      <w:r>
        <w:rPr>
          <w:i/>
        </w:rPr>
        <w:t xml:space="preserve">worst </w:t>
      </w:r>
      <w:r>
        <w:t xml:space="preserve">value across the sample as a uniform brightness threshold </w:t>
      </w:r>
      <w:proofErr w:type="spellStart"/>
      <w:r>
        <w:t>T_thr</w:t>
      </w:r>
      <w:proofErr w:type="spellEnd"/>
      <w:r>
        <w:t xml:space="preserve">, and define </w:t>
      </w:r>
      <w:proofErr w:type="spellStart"/>
      <w:r>
        <w:t>v_max</w:t>
      </w:r>
      <w:proofErr w:type="spellEnd"/>
      <w:r>
        <w:t xml:space="preserve"> as the largest |v - </w:t>
      </w:r>
      <w:proofErr w:type="spellStart"/>
      <w:r>
        <w:t>v_sys</w:t>
      </w:r>
      <w:proofErr w:type="spellEnd"/>
      <w:r>
        <w:t xml:space="preserve">| at which the CO 3–2 profile, binned to a fixed 2 km/s, exceeds </w:t>
      </w:r>
      <w:proofErr w:type="spellStart"/>
      <w:r>
        <w:t>T_thr</w:t>
      </w:r>
      <w:proofErr w:type="spellEnd"/>
      <w:r>
        <w:t xml:space="preserve"> in two consecutive channels. Report </w:t>
      </w:r>
      <w:proofErr w:type="spellStart"/>
      <w:r>
        <w:t>v_</w:t>
      </w:r>
      <w:proofErr w:type="gramStart"/>
      <w:r>
        <w:t>max,blue</w:t>
      </w:r>
      <w:proofErr w:type="spellEnd"/>
      <w:proofErr w:type="gramEnd"/>
      <w:r>
        <w:t xml:space="preserve">, </w:t>
      </w:r>
      <w:proofErr w:type="spellStart"/>
      <w:r>
        <w:t>v_</w:t>
      </w:r>
      <w:proofErr w:type="gramStart"/>
      <w:r>
        <w:t>max,red</w:t>
      </w:r>
      <w:proofErr w:type="spellEnd"/>
      <w:proofErr w:type="gramEnd"/>
      <w:r>
        <w:t xml:space="preserve">, and max(|v|) per source. Using a fixed brightness threshold rather than a per-source </w:t>
      </w:r>
      <w:proofErr w:type="spellStart"/>
      <w:r>
        <w:t>n</w:t>
      </w:r>
      <w:r>
        <w:rPr>
          <w:rFonts w:ascii="Cambria" w:eastAsia="Cambria" w:hAnsi="Cambria" w:cs="Cambria"/>
          <w:i/>
        </w:rPr>
        <w:t>σ</w:t>
      </w:r>
      <w:proofErr w:type="spellEnd"/>
      <w:r>
        <w:rPr>
          <w:rFonts w:ascii="Cambria" w:eastAsia="Cambria" w:hAnsi="Cambria" w:cs="Cambria"/>
          <w:i/>
        </w:rPr>
        <w:t xml:space="preserve"> </w:t>
      </w:r>
      <w:r>
        <w:t>threshold is what makes the ranking meaningful; state this explicitly.</w:t>
      </w:r>
    </w:p>
    <w:p w14:paraId="34DE1832" w14:textId="77777777" w:rsidR="00E76A90" w:rsidRDefault="00000000">
      <w:pPr>
        <w:pStyle w:val="Heading1"/>
        <w:tabs>
          <w:tab w:val="center" w:pos="3310"/>
        </w:tabs>
        <w:ind w:left="-15" w:firstLine="0"/>
      </w:pPr>
      <w:r>
        <w:t>0.11</w:t>
      </w:r>
      <w:r>
        <w:tab/>
        <w:t>7. Line measurement, detections, and limits</w:t>
      </w:r>
    </w:p>
    <w:p w14:paraId="475306B6" w14:textId="77777777" w:rsidR="00E76A90" w:rsidRDefault="00000000">
      <w:pPr>
        <w:ind w:left="-5"/>
      </w:pPr>
      <w:r>
        <w:t>For each aperture and each of the three lines, in each velocity interval:</w:t>
      </w:r>
    </w:p>
    <w:p w14:paraId="57355812" w14:textId="77777777" w:rsidR="00E76A90" w:rsidRDefault="00000000">
      <w:pPr>
        <w:numPr>
          <w:ilvl w:val="0"/>
          <w:numId w:val="3"/>
        </w:numPr>
        <w:spacing w:after="23" w:line="364" w:lineRule="auto"/>
        <w:ind w:left="546" w:hanging="279"/>
      </w:pPr>
      <w:r>
        <w:t xml:space="preserve">Measure the per-channel rms </w:t>
      </w:r>
      <w:proofErr w:type="spellStart"/>
      <w:r>
        <w:rPr>
          <w:rFonts w:ascii="Cambria" w:eastAsia="Cambria" w:hAnsi="Cambria" w:cs="Cambria"/>
          <w:i/>
        </w:rPr>
        <w:t>σ</w:t>
      </w:r>
      <w:r>
        <w:t>_chan</w:t>
      </w:r>
      <w:proofErr w:type="spellEnd"/>
      <w:r>
        <w:t xml:space="preserve"> in emission-free channels of the same aperture in the same cube, on the </w:t>
      </w:r>
      <w:r>
        <w:rPr>
          <w:i/>
        </w:rPr>
        <w:t>non</w:t>
      </w:r>
      <w:r>
        <w:t>-</w:t>
      </w:r>
      <w:proofErr w:type="spellStart"/>
      <w:r>
        <w:t>pbcor</w:t>
      </w:r>
      <w:proofErr w:type="spellEnd"/>
      <w:r>
        <w:t xml:space="preserve"> cube, then scale to the aperture’s primary-beam response. • Integrate: W = </w:t>
      </w:r>
      <w:r>
        <w:rPr>
          <w:rFonts w:ascii="Cambria" w:eastAsia="Cambria" w:hAnsi="Cambria" w:cs="Cambria"/>
        </w:rPr>
        <w:t xml:space="preserve">Σ </w:t>
      </w:r>
      <w:proofErr w:type="spellStart"/>
      <w:r>
        <w:t>T_b</w:t>
      </w:r>
      <w:proofErr w:type="spellEnd"/>
      <w:r>
        <w:t xml:space="preserve"> </w:t>
      </w:r>
      <w:r>
        <w:rPr>
          <w:rFonts w:ascii="Cambria" w:eastAsia="Cambria" w:hAnsi="Cambria" w:cs="Cambria"/>
        </w:rPr>
        <w:t>∆</w:t>
      </w:r>
      <w:r>
        <w:t xml:space="preserve">v over the interval. Propagate </w:t>
      </w:r>
      <w:proofErr w:type="spellStart"/>
      <w:r>
        <w:rPr>
          <w:rFonts w:ascii="Cambria" w:eastAsia="Cambria" w:hAnsi="Cambria" w:cs="Cambria"/>
          <w:i/>
        </w:rPr>
        <w:t>σ</w:t>
      </w:r>
      <w:r>
        <w:t>_W</w:t>
      </w:r>
      <w:proofErr w:type="spellEnd"/>
      <w:r>
        <w:t xml:space="preserve"> = </w:t>
      </w:r>
      <w:proofErr w:type="spellStart"/>
      <w:r>
        <w:rPr>
          <w:rFonts w:ascii="Cambria" w:eastAsia="Cambria" w:hAnsi="Cambria" w:cs="Cambria"/>
          <w:i/>
        </w:rPr>
        <w:t>σ</w:t>
      </w:r>
      <w:r>
        <w:t>_chan</w:t>
      </w:r>
      <w:proofErr w:type="spellEnd"/>
      <w:r>
        <w:t xml:space="preserve"> </w:t>
      </w:r>
      <w:r>
        <w:rPr>
          <w:rFonts w:ascii="Cambria" w:eastAsia="Cambria" w:hAnsi="Cambria" w:cs="Cambria"/>
        </w:rPr>
        <w:t>∆</w:t>
      </w:r>
      <w:r>
        <w:t xml:space="preserve">v </w:t>
      </w:r>
      <w:r>
        <w:rPr>
          <w:rFonts w:ascii="Cambria" w:eastAsia="Cambria" w:hAnsi="Cambria" w:cs="Cambria"/>
        </w:rPr>
        <w:t>√</w:t>
      </w:r>
      <w:r>
        <w:t>(</w:t>
      </w:r>
      <w:proofErr w:type="spellStart"/>
      <w:r>
        <w:t>N_chan</w:t>
      </w:r>
      <w:proofErr w:type="spellEnd"/>
      <w:r>
        <w:t xml:space="preserve">) </w:t>
      </w:r>
      <w:r>
        <w:rPr>
          <w:rFonts w:ascii="Cambria" w:eastAsia="Cambria" w:hAnsi="Cambria" w:cs="Cambria"/>
        </w:rPr>
        <w:t>× √</w:t>
      </w:r>
      <w:r>
        <w:t>f, where f is the channel-correlation factor (f &gt; 1 if Hanning smoothing was applied in the pipeline or by you in Step 4.3; determine it empirically from the autocorrelation of the noise spectrum rather than assuming a value).</w:t>
      </w:r>
    </w:p>
    <w:p w14:paraId="34809038" w14:textId="77777777" w:rsidR="00E76A90" w:rsidRDefault="00000000">
      <w:pPr>
        <w:numPr>
          <w:ilvl w:val="0"/>
          <w:numId w:val="3"/>
        </w:numPr>
        <w:ind w:left="546" w:hanging="279"/>
      </w:pPr>
      <w:r>
        <w:t>Declare a detection at W &gt; 5</w:t>
      </w:r>
      <w:r>
        <w:rPr>
          <w:rFonts w:ascii="Cambria" w:eastAsia="Cambria" w:hAnsi="Cambria" w:cs="Cambria"/>
          <w:i/>
        </w:rPr>
        <w:t>σ</w:t>
      </w:r>
      <w:r>
        <w:t>_W with a visually confirmed, kinematically sensible profile; declare a marginal detection at 3–5</w:t>
      </w:r>
      <w:r>
        <w:rPr>
          <w:rFonts w:ascii="Cambria" w:eastAsia="Cambria" w:hAnsi="Cambria" w:cs="Cambria"/>
          <w:i/>
        </w:rPr>
        <w:t>σ</w:t>
      </w:r>
      <w:r>
        <w:t xml:space="preserve">_W; otherwise report a </w:t>
      </w:r>
      <w:r>
        <w:rPr>
          <w:b/>
        </w:rPr>
        <w:t>3</w:t>
      </w:r>
      <w:r>
        <w:rPr>
          <w:rFonts w:ascii="Cambria" w:eastAsia="Cambria" w:hAnsi="Cambria" w:cs="Cambria"/>
          <w:i/>
        </w:rPr>
        <w:t xml:space="preserve">σ </w:t>
      </w:r>
      <w:r>
        <w:rPr>
          <w:b/>
        </w:rPr>
        <w:t xml:space="preserve">upper limit </w:t>
      </w:r>
      <w:r>
        <w:t>W &lt; 3</w:t>
      </w:r>
      <w:r>
        <w:rPr>
          <w:rFonts w:ascii="Cambria" w:eastAsia="Cambria" w:hAnsi="Cambria" w:cs="Cambria"/>
          <w:i/>
        </w:rPr>
        <w:t>σ</w:t>
      </w:r>
      <w:r>
        <w:t xml:space="preserve">_W over the same interval. Non-detections are results. They go in the table with their limits, and they propagate into the excitation analysis as one-sided constraints on </w:t>
      </w:r>
      <w:proofErr w:type="spellStart"/>
      <w:r>
        <w:t>T_ex</w:t>
      </w:r>
      <w:proofErr w:type="spellEnd"/>
      <w:r>
        <w:t xml:space="preserve"> and N(</w:t>
      </w:r>
      <w:proofErr w:type="gramStart"/>
      <w:r>
        <w:t>SiO) —</w:t>
      </w:r>
      <w:proofErr w:type="gramEnd"/>
      <w:r>
        <w:t xml:space="preserve"> they are not dropped, and they are not replaced by zero.</w:t>
      </w:r>
    </w:p>
    <w:p w14:paraId="43297A7A" w14:textId="77777777" w:rsidR="00E76A90" w:rsidRDefault="00000000">
      <w:pPr>
        <w:numPr>
          <w:ilvl w:val="0"/>
          <w:numId w:val="3"/>
        </w:numPr>
        <w:ind w:left="546" w:hanging="279"/>
      </w:pPr>
      <w:r>
        <w:t xml:space="preserve">Independently fit each detected SiO profile with a Gaussian (or two, if the profile </w:t>
      </w:r>
      <w:proofErr w:type="spellStart"/>
      <w:r>
        <w:t>demandsit</w:t>
      </w:r>
      <w:proofErr w:type="spellEnd"/>
      <w:r>
        <w:t>) using ‘</w:t>
      </w:r>
      <w:proofErr w:type="spellStart"/>
      <w:proofErr w:type="gramStart"/>
      <w:r>
        <w:t>pyspeckit</w:t>
      </w:r>
      <w:proofErr w:type="spellEnd"/>
      <w:r>
        <w:t>‘ or</w:t>
      </w:r>
      <w:proofErr w:type="gramEnd"/>
      <w:r>
        <w:t xml:space="preserve"> ‘</w:t>
      </w:r>
      <w:proofErr w:type="spellStart"/>
      <w:proofErr w:type="gramStart"/>
      <w:r>
        <w:t>scipy.optimize</w:t>
      </w:r>
      <w:proofErr w:type="gramEnd"/>
      <w:r>
        <w:t>.curve_</w:t>
      </w:r>
      <w:proofErr w:type="gramStart"/>
      <w:r>
        <w:t>fit</w:t>
      </w:r>
      <w:proofErr w:type="spellEnd"/>
      <w:r>
        <w:t>‘</w:t>
      </w:r>
      <w:proofErr w:type="gramEnd"/>
      <w:r>
        <w:t>, and compare the fitted integrated intensity with the direct sum. Quote the direct sum as your primary value and the fit as a consistency check; the fit centroid and FWHM are what you use to test whether SiO is kinematically distinct from CO.</w:t>
      </w:r>
    </w:p>
    <w:p w14:paraId="294C74C3" w14:textId="77777777" w:rsidR="00E76A90" w:rsidRDefault="00000000">
      <w:pPr>
        <w:numPr>
          <w:ilvl w:val="0"/>
          <w:numId w:val="3"/>
        </w:numPr>
        <w:spacing w:after="314" w:line="259" w:lineRule="auto"/>
        <w:ind w:left="546" w:hanging="279"/>
      </w:pPr>
      <w:r>
        <w:t>Check the contaminant list from Step 1 against every detected feature before calling it SiO.</w:t>
      </w:r>
    </w:p>
    <w:p w14:paraId="75281987" w14:textId="77777777" w:rsidR="00E76A90" w:rsidRDefault="00000000">
      <w:pPr>
        <w:pStyle w:val="Heading1"/>
        <w:tabs>
          <w:tab w:val="center" w:pos="1991"/>
        </w:tabs>
        <w:ind w:left="-15" w:firstLine="0"/>
      </w:pPr>
      <w:r>
        <w:t>0.12</w:t>
      </w:r>
      <w:r>
        <w:tab/>
        <w:t>8. Excitation analysis</w:t>
      </w:r>
    </w:p>
    <w:p w14:paraId="1E685531" w14:textId="77777777" w:rsidR="00E76A90" w:rsidRDefault="00000000">
      <w:pPr>
        <w:ind w:left="-5"/>
      </w:pPr>
      <w:r>
        <w:t>Under optically thin LTE with a single excitation temperature, with both lines measured in K km/s in the identical beam and identical velocity interval:</w:t>
      </w:r>
    </w:p>
    <w:p w14:paraId="23990A1A" w14:textId="77777777" w:rsidR="00E76A90" w:rsidRDefault="00000000">
      <w:pPr>
        <w:ind w:left="-5"/>
      </w:pPr>
      <w:r>
        <w:t xml:space="preserve">1. Compute upper-level column densities, </w:t>
      </w:r>
      <w:proofErr w:type="spellStart"/>
      <w:r>
        <w:t>N_u</w:t>
      </w:r>
      <w:proofErr w:type="spellEnd"/>
      <w:r>
        <w:t xml:space="preserve"> = (8</w:t>
      </w:r>
      <w:r>
        <w:rPr>
          <w:rFonts w:ascii="Cambria" w:eastAsia="Cambria" w:hAnsi="Cambria" w:cs="Cambria"/>
          <w:i/>
        </w:rPr>
        <w:t>π</w:t>
      </w:r>
      <w:r>
        <w:t>k</w:t>
      </w:r>
      <w:r>
        <w:rPr>
          <w:rFonts w:ascii="Cambria" w:eastAsia="Cambria" w:hAnsi="Cambria" w:cs="Cambria"/>
          <w:i/>
        </w:rPr>
        <w:t>ν</w:t>
      </w:r>
      <w:r>
        <w:rPr>
          <w:rFonts w:ascii="Cambria" w:eastAsia="Cambria" w:hAnsi="Cambria" w:cs="Cambria"/>
          <w:vertAlign w:val="superscript"/>
        </w:rPr>
        <w:t>2</w:t>
      </w:r>
      <w:r>
        <w:t>)/(hc</w:t>
      </w:r>
      <w:r>
        <w:rPr>
          <w:rFonts w:ascii="Cambria" w:eastAsia="Cambria" w:hAnsi="Cambria" w:cs="Cambria"/>
          <w:vertAlign w:val="superscript"/>
        </w:rPr>
        <w:t>3</w:t>
      </w:r>
      <w:r>
        <w:t xml:space="preserve">A_ul) </w:t>
      </w:r>
      <w:r>
        <w:rPr>
          <w:rFonts w:ascii="Cambria" w:eastAsia="Cambria" w:hAnsi="Cambria" w:cs="Cambria"/>
        </w:rPr>
        <w:t xml:space="preserve">× </w:t>
      </w:r>
      <w:r>
        <w:t xml:space="preserve">W, using your Step-1 </w:t>
      </w:r>
      <w:proofErr w:type="spellStart"/>
      <w:r>
        <w:t>A_ul</w:t>
      </w:r>
      <w:proofErr w:type="spellEnd"/>
      <w:r>
        <w:t xml:space="preserve"> and rest frequencies. Include the background term properly: W here is [J(</w:t>
      </w:r>
      <w:proofErr w:type="spellStart"/>
      <w:r>
        <w:t>T_ex</w:t>
      </w:r>
      <w:proofErr w:type="spellEnd"/>
      <w:r>
        <w:t>) - J(</w:t>
      </w:r>
      <w:proofErr w:type="spellStart"/>
      <w:r>
        <w:t>T_bg</w:t>
      </w:r>
      <w:proofErr w:type="spellEnd"/>
      <w:r>
        <w:t xml:space="preserve">)] dv with J the Rayleigh–Jeans-equivalent radiation temperature and </w:t>
      </w:r>
      <w:proofErr w:type="spellStart"/>
      <w:r>
        <w:t>T_bg</w:t>
      </w:r>
      <w:proofErr w:type="spellEnd"/>
      <w:r>
        <w:t xml:space="preserve"> = 2.73 K; at Band 7 the correction is modest but not zero, </w:t>
      </w:r>
      <w:r>
        <w:lastRenderedPageBreak/>
        <w:t xml:space="preserve">and you should carry it rather than hand-wave it. 2. Solve for </w:t>
      </w:r>
      <w:proofErr w:type="spellStart"/>
      <w:r>
        <w:t>T_ex</w:t>
      </w:r>
      <w:proofErr w:type="spellEnd"/>
      <w:r>
        <w:t xml:space="preserve"> from the two-point ratio: </w:t>
      </w:r>
      <w:proofErr w:type="spellStart"/>
      <w:r>
        <w:t>N_u</w:t>
      </w:r>
      <w:proofErr w:type="spellEnd"/>
      <w:r>
        <w:t>(8)/</w:t>
      </w:r>
      <w:proofErr w:type="spellStart"/>
      <w:r>
        <w:t>N_</w:t>
      </w:r>
      <w:proofErr w:type="gramStart"/>
      <w:r>
        <w:t>u</w:t>
      </w:r>
      <w:proofErr w:type="spellEnd"/>
      <w:r>
        <w:t>(</w:t>
      </w:r>
      <w:proofErr w:type="gramEnd"/>
      <w:r>
        <w:t>7) = (g</w:t>
      </w:r>
      <w:r>
        <w:rPr>
          <w:rFonts w:ascii="Cambria" w:eastAsia="Cambria" w:hAnsi="Cambria" w:cs="Cambria"/>
          <w:vertAlign w:val="subscript"/>
        </w:rPr>
        <w:t>8</w:t>
      </w:r>
      <w:r>
        <w:t>/g</w:t>
      </w:r>
      <w:r>
        <w:rPr>
          <w:rFonts w:ascii="Cambria" w:eastAsia="Cambria" w:hAnsi="Cambria" w:cs="Cambria"/>
          <w:vertAlign w:val="subscript"/>
        </w:rPr>
        <w:t>7</w:t>
      </w:r>
      <w:r>
        <w:t xml:space="preserve">) </w:t>
      </w:r>
      <w:proofErr w:type="gramStart"/>
      <w:r>
        <w:t>exp[</w:t>
      </w:r>
      <w:proofErr w:type="gramEnd"/>
      <w:r>
        <w:t>-(E</w:t>
      </w:r>
      <w:r>
        <w:rPr>
          <w:rFonts w:ascii="Cambria" w:eastAsia="Cambria" w:hAnsi="Cambria" w:cs="Cambria"/>
          <w:vertAlign w:val="subscript"/>
        </w:rPr>
        <w:t xml:space="preserve">8 </w:t>
      </w:r>
      <w:r>
        <w:t>- E</w:t>
      </w:r>
      <w:r>
        <w:rPr>
          <w:rFonts w:ascii="Cambria" w:eastAsia="Cambria" w:hAnsi="Cambria" w:cs="Cambria"/>
          <w:vertAlign w:val="subscript"/>
        </w:rPr>
        <w:t>7</w:t>
      </w:r>
      <w:r>
        <w:t>)/</w:t>
      </w:r>
      <w:proofErr w:type="spellStart"/>
      <w:r>
        <w:t>kT_ex</w:t>
      </w:r>
      <w:proofErr w:type="spellEnd"/>
      <w:r>
        <w:t xml:space="preserve">]. Because </w:t>
      </w:r>
      <w:r>
        <w:rPr>
          <w:rFonts w:ascii="Cambria" w:eastAsia="Cambria" w:hAnsi="Cambria" w:cs="Cambria"/>
        </w:rPr>
        <w:t>∆</w:t>
      </w:r>
      <w:r>
        <w:t xml:space="preserve">E between adjacent J levels of SiO is small compared with the temperatures of interest, this ratio is a </w:t>
      </w:r>
      <w:r>
        <w:rPr>
          <w:i/>
        </w:rPr>
        <w:t xml:space="preserve">weak </w:t>
      </w:r>
      <w:r>
        <w:t xml:space="preserve">thermometer — map out the sensitivity explicitly by plotting the predicted ratio versus </w:t>
      </w:r>
      <w:proofErr w:type="spellStart"/>
      <w:r>
        <w:t>T_ex</w:t>
      </w:r>
      <w:proofErr w:type="spellEnd"/>
      <w:r>
        <w:t xml:space="preserve"> over 10–300 K and showing where your measured ratio and its error bar land. Where the error bar spans a large </w:t>
      </w:r>
      <w:proofErr w:type="spellStart"/>
      <w:r>
        <w:t>T_ex</w:t>
      </w:r>
      <w:proofErr w:type="spellEnd"/>
      <w:r>
        <w:t xml:space="preserve"> range, quote a range, not a central value. Where one line is a limit, the result is a one-sided bound on </w:t>
      </w:r>
      <w:proofErr w:type="spellStart"/>
      <w:r>
        <w:t>T_ex</w:t>
      </w:r>
      <w:proofErr w:type="spellEnd"/>
      <w:r>
        <w:t xml:space="preserve">. 3. Compute the total SiO column density, N(SiO) = </w:t>
      </w:r>
      <w:proofErr w:type="spellStart"/>
      <w:r>
        <w:t>N_u</w:t>
      </w:r>
      <w:proofErr w:type="spellEnd"/>
      <w:r>
        <w:t xml:space="preserve"> </w:t>
      </w:r>
      <w:r>
        <w:rPr>
          <w:rFonts w:ascii="Cambria" w:eastAsia="Cambria" w:hAnsi="Cambria" w:cs="Cambria"/>
        </w:rPr>
        <w:t xml:space="preserve">× </w:t>
      </w:r>
      <w:r>
        <w:t>Q(</w:t>
      </w:r>
      <w:proofErr w:type="spellStart"/>
      <w:r>
        <w:t>T_ex</w:t>
      </w:r>
      <w:proofErr w:type="spellEnd"/>
      <w:r>
        <w:t>)/</w:t>
      </w:r>
      <w:proofErr w:type="spellStart"/>
      <w:r>
        <w:t>g_u</w:t>
      </w:r>
      <w:proofErr w:type="spellEnd"/>
      <w:r>
        <w:t xml:space="preserve"> </w:t>
      </w:r>
      <w:r>
        <w:rPr>
          <w:rFonts w:ascii="Cambria" w:eastAsia="Cambria" w:hAnsi="Cambria" w:cs="Cambria"/>
        </w:rPr>
        <w:t xml:space="preserve">× </w:t>
      </w:r>
      <w:r>
        <w:t>exp(</w:t>
      </w:r>
      <w:proofErr w:type="spellStart"/>
      <w:r>
        <w:t>E_u</w:t>
      </w:r>
      <w:proofErr w:type="spellEnd"/>
      <w:r>
        <w:t>/</w:t>
      </w:r>
      <w:proofErr w:type="spellStart"/>
      <w:r>
        <w:t>kT_ex</w:t>
      </w:r>
      <w:proofErr w:type="spellEnd"/>
      <w:r>
        <w:t xml:space="preserve">), interpolating Q from the CDMS table at your derived </w:t>
      </w:r>
      <w:proofErr w:type="spellStart"/>
      <w:r>
        <w:t>T_ex</w:t>
      </w:r>
      <w:proofErr w:type="spellEnd"/>
      <w:r>
        <w:t xml:space="preserve">. Do this for both transitions and confirm they agree — they must, by construction, if you solved for </w:t>
      </w:r>
      <w:proofErr w:type="spellStart"/>
      <w:r>
        <w:t>T_ex</w:t>
      </w:r>
      <w:proofErr w:type="spellEnd"/>
      <w:r>
        <w:t xml:space="preserve"> correctly; disagreement means an arithmetic error. 4. Compute a CO 3–2 integrated intensity in the same aperture and intervals as a </w:t>
      </w:r>
      <w:r>
        <w:rPr>
          <w:i/>
        </w:rPr>
        <w:t xml:space="preserve">kinematic and relative </w:t>
      </w:r>
      <w:r>
        <w:t xml:space="preserve">reference only. CO 3–2 in these regions is almost certainly optically thick, and the ACA 7 m data have no total-power complement, so extended CO emission is spatially filtered. State both facts where you first use CO. Report N(SiO)/W(CO) as a proxy ratio in explicitly stated units, not as an abundance. 5. State the assumption set in one paragraph in the thesis, with its failure modes named: optically thin SiO, single </w:t>
      </w:r>
      <w:proofErr w:type="spellStart"/>
      <w:r>
        <w:t>T_ex</w:t>
      </w:r>
      <w:proofErr w:type="spellEnd"/>
      <w:r>
        <w:t xml:space="preserve"> for both transitions, uniform beam filling identical for both transitions (this cancels in the ratio only if the emitting region is the same for both — which the matched-beam construction makes plausible but does not prove), LTE level populations, and no blending.</w:t>
      </w:r>
    </w:p>
    <w:p w14:paraId="41253DFE" w14:textId="77777777" w:rsidR="00E76A90" w:rsidRDefault="00000000">
      <w:pPr>
        <w:spacing w:after="343"/>
        <w:ind w:left="-5"/>
      </w:pPr>
      <w:r>
        <w:rPr>
          <w:b/>
        </w:rPr>
        <w:t xml:space="preserve">Uncertainty propagation. </w:t>
      </w:r>
      <w:r>
        <w:t xml:space="preserve">Do it by Monte Carlo, not by analytic error propagation: draw W for each line from a Gaussian with the measured </w:t>
      </w:r>
      <w:proofErr w:type="spellStart"/>
      <w:r>
        <w:rPr>
          <w:rFonts w:ascii="Cambria" w:eastAsia="Cambria" w:hAnsi="Cambria" w:cs="Cambria"/>
          <w:i/>
        </w:rPr>
        <w:t>σ</w:t>
      </w:r>
      <w:r>
        <w:t>_W</w:t>
      </w:r>
      <w:proofErr w:type="spellEnd"/>
      <w:r>
        <w:t xml:space="preserve"> (truncated at zero), draw the flux-calibration factor per tuning from a 10% Gaussian with the correlated/uncorrelated split determined in Step 4.5, propagate each draw through Steps 8.1–8.3, and report the 16th/50th/84th percentiles of </w:t>
      </w:r>
      <w:proofErr w:type="spellStart"/>
      <w:r>
        <w:t>T_ex</w:t>
      </w:r>
      <w:proofErr w:type="spellEnd"/>
      <w:r>
        <w:t xml:space="preserve"> and N(SiO). For limit cases, sample the one-sided constraint. 10</w:t>
      </w:r>
      <w:r>
        <w:rPr>
          <w:rFonts w:ascii="Cambria" w:eastAsia="Cambria" w:hAnsi="Cambria" w:cs="Cambria"/>
          <w:vertAlign w:val="superscript"/>
        </w:rPr>
        <w:t xml:space="preserve">4 </w:t>
      </w:r>
      <w:r>
        <w:t xml:space="preserve">draws </w:t>
      </w:r>
      <w:proofErr w:type="gramStart"/>
      <w:r>
        <w:t>is</w:t>
      </w:r>
      <w:proofErr w:type="gramEnd"/>
      <w:r>
        <w:t xml:space="preserve"> plenty.</w:t>
      </w:r>
    </w:p>
    <w:p w14:paraId="4CC81C1A" w14:textId="77777777" w:rsidR="00E76A90" w:rsidRDefault="00000000">
      <w:pPr>
        <w:pStyle w:val="Heading1"/>
        <w:tabs>
          <w:tab w:val="center" w:pos="2192"/>
        </w:tabs>
        <w:ind w:left="-15" w:firstLine="0"/>
      </w:pPr>
      <w:r>
        <w:t>0.13</w:t>
      </w:r>
      <w:r>
        <w:tab/>
        <w:t xml:space="preserve">9. </w:t>
      </w:r>
      <w:proofErr w:type="gramStart"/>
      <w:r>
        <w:t>The comparative</w:t>
      </w:r>
      <w:proofErr w:type="gramEnd"/>
      <w:r>
        <w:t xml:space="preserve"> tests</w:t>
      </w:r>
    </w:p>
    <w:p w14:paraId="33EB01B0" w14:textId="77777777" w:rsidR="00E76A90" w:rsidRDefault="00000000">
      <w:pPr>
        <w:ind w:left="-5"/>
      </w:pPr>
      <w:r>
        <w:t>Three specific tests, each stated as a hypothesis before you look:</w:t>
      </w:r>
    </w:p>
    <w:p w14:paraId="59AC9A86" w14:textId="77777777" w:rsidR="00E76A90" w:rsidRDefault="00000000">
      <w:pPr>
        <w:ind w:left="-5"/>
      </w:pPr>
      <w:r>
        <w:t xml:space="preserve">1. </w:t>
      </w:r>
      <w:r>
        <w:rPr>
          <w:b/>
        </w:rPr>
        <w:t xml:space="preserve">Is SiO kinematically distinct from CO? </w:t>
      </w:r>
      <w:r>
        <w:t>Per aperture, compare the SiO and CO 3–</w:t>
      </w:r>
      <w:proofErr w:type="gramStart"/>
      <w:r>
        <w:t>2 line</w:t>
      </w:r>
      <w:proofErr w:type="gramEnd"/>
      <w:r>
        <w:t xml:space="preserve"> centroids and FWHMs, and compare the fraction of each line’s integrated intensity falling in the high-velocity interval. Plot the normalized SiO and CO profiles overlaid for all apertures in a single multi-panel figure — this figure is the visual heart of the thesis. 2. </w:t>
      </w:r>
      <w:r>
        <w:rPr>
          <w:b/>
        </w:rPr>
        <w:t xml:space="preserve">Is high-velocity SiO more </w:t>
      </w:r>
      <w:proofErr w:type="gramStart"/>
      <w:r>
        <w:rPr>
          <w:b/>
        </w:rPr>
        <w:t>excited</w:t>
      </w:r>
      <w:proofErr w:type="gramEnd"/>
      <w:r>
        <w:rPr>
          <w:b/>
        </w:rPr>
        <w:t xml:space="preserve"> than low-velocity SiO? </w:t>
      </w:r>
      <w:r>
        <w:t xml:space="preserve">Within each source, compute </w:t>
      </w:r>
      <w:proofErr w:type="spellStart"/>
      <w:r>
        <w:t>T_ex</w:t>
      </w:r>
      <w:proofErr w:type="spellEnd"/>
      <w:r>
        <w:t xml:space="preserve"> and N(SiO) separately in the low- and high-velocity intervals of the same aperture and difference them. Because the two intervals come from the same cubes, same beam, and same calibration, most systematics cancel; this is your cleanest internal comparison, and you should say so. 3. </w:t>
      </w:r>
      <w:r>
        <w:rPr>
          <w:b/>
        </w:rPr>
        <w:t xml:space="preserve">Do SiO properties track outflow velocity extent? </w:t>
      </w:r>
      <w:r>
        <w:t xml:space="preserve">Rank the seven sources by the self-measured CO </w:t>
      </w:r>
      <w:proofErr w:type="spellStart"/>
      <w:r>
        <w:t>v_max</w:t>
      </w:r>
      <w:proofErr w:type="spellEnd"/>
      <w:r>
        <w:t xml:space="preserve"> from Step 6.3 and test for a monotonic trend in </w:t>
      </w:r>
      <w:proofErr w:type="spellStart"/>
      <w:r>
        <w:t>T_ex</w:t>
      </w:r>
      <w:proofErr w:type="spellEnd"/>
      <w:r>
        <w:t xml:space="preserve">, N(SiO), and N(SiO)/W(CO) with a Spearman rank correlation, bootstrapping over the Monte Carlo realizations from Step 8 to get the distribution of </w:t>
      </w:r>
      <w:r>
        <w:rPr>
          <w:rFonts w:ascii="Cambria" w:eastAsia="Cambria" w:hAnsi="Cambria" w:cs="Cambria"/>
          <w:i/>
        </w:rPr>
        <w:t xml:space="preserve">ρ </w:t>
      </w:r>
      <w:r>
        <w:t xml:space="preserve">and p. With seven points (fewer, if a source drops out at Step 2), report </w:t>
      </w:r>
      <w:r>
        <w:rPr>
          <w:rFonts w:ascii="Cambria" w:eastAsia="Cambria" w:hAnsi="Cambria" w:cs="Cambria"/>
          <w:i/>
        </w:rPr>
        <w:t>ρ</w:t>
      </w:r>
      <w:r>
        <w:t>, its bootstrap interval, and p, and let the numbers speak — do not fit a line through seven points with large error bars and quote a slope.</w:t>
      </w:r>
    </w:p>
    <w:p w14:paraId="4DB0DB7F" w14:textId="77777777" w:rsidR="00E76A90" w:rsidRDefault="00000000">
      <w:pPr>
        <w:spacing w:after="308"/>
        <w:ind w:left="-5"/>
      </w:pPr>
      <w:r>
        <w:t xml:space="preserve">Where distances enter — any conversion of angular scale to AU, or of column density to mass — adopt literature distances, cite each one individually in the table, and mark every </w:t>
      </w:r>
      <w:proofErr w:type="spellStart"/>
      <w:r>
        <w:t>distancedependent</w:t>
      </w:r>
      <w:proofErr w:type="spellEnd"/>
      <w:r>
        <w:t xml:space="preserve"> quantity in the results tables with a symbol. The data description characterizes these sources only </w:t>
      </w:r>
      <w:proofErr w:type="gramStart"/>
      <w:r>
        <w:t>as ”within</w:t>
      </w:r>
      <w:proofErr w:type="gramEnd"/>
      <w:r>
        <w:t xml:space="preserve"> a few hundred pc,” so all headline results are framed as distance-independent line ratios and excitation temperatures.</w:t>
      </w:r>
    </w:p>
    <w:p w14:paraId="14E188A8" w14:textId="77777777" w:rsidR="00E76A90" w:rsidRDefault="00000000">
      <w:pPr>
        <w:pStyle w:val="Heading1"/>
        <w:tabs>
          <w:tab w:val="center" w:pos="3145"/>
        </w:tabs>
        <w:ind w:left="-15" w:firstLine="0"/>
      </w:pPr>
      <w:r>
        <w:lastRenderedPageBreak/>
        <w:t>0.14</w:t>
      </w:r>
      <w:r>
        <w:tab/>
        <w:t>10. Products, reproducibility, and pacing</w:t>
      </w:r>
    </w:p>
    <w:p w14:paraId="2B444FA0" w14:textId="77777777" w:rsidR="00E76A90" w:rsidRDefault="00000000">
      <w:pPr>
        <w:spacing w:after="0" w:line="454" w:lineRule="auto"/>
        <w:ind w:left="-5"/>
      </w:pPr>
      <w:r>
        <w:t>Keep everything in one git repository: a pinned CASA version, one numbered script per workflow stage (download/audit</w:t>
      </w:r>
      <w:r>
        <w:rPr>
          <w:rFonts w:ascii="Cambria" w:eastAsia="Cambria" w:hAnsi="Cambria" w:cs="Cambria"/>
        </w:rPr>
        <w:t xml:space="preserve">→ → </w:t>
      </w:r>
      <w:proofErr w:type="spellStart"/>
      <w:r>
        <w:t>uvcontsubfigures</w:t>
      </w:r>
      <w:proofErr w:type="spellEnd"/>
      <w:r>
        <w:t>), a machine-readable table of aperture positions, and the</w:t>
      </w:r>
      <w:r>
        <w:rPr>
          <w:rFonts w:ascii="Cambria" w:eastAsia="Cambria" w:hAnsi="Cambria" w:cs="Cambria"/>
        </w:rPr>
        <w:t xml:space="preserve">→ </w:t>
      </w:r>
      <w:r>
        <w:t xml:space="preserve">imaging </w:t>
      </w:r>
      <w:r>
        <w:rPr>
          <w:rFonts w:ascii="Cambria" w:eastAsia="Cambria" w:hAnsi="Cambria" w:cs="Cambria"/>
        </w:rPr>
        <w:t xml:space="preserve">→ </w:t>
      </w:r>
      <w:r>
        <w:t xml:space="preserve">homogenization </w:t>
      </w:r>
      <w:r>
        <w:rPr>
          <w:rFonts w:ascii="Cambria" w:eastAsia="Cambria" w:hAnsi="Cambria" w:cs="Cambria"/>
        </w:rPr>
        <w:t xml:space="preserve">→ </w:t>
      </w:r>
      <w:r>
        <w:t xml:space="preserve">aperture extraction measurement </w:t>
      </w:r>
      <w:r>
        <w:rPr>
          <w:rFonts w:ascii="Cambria" w:eastAsia="Cambria" w:hAnsi="Cambria" w:cs="Cambria"/>
        </w:rPr>
        <w:t xml:space="preserve">→ </w:t>
      </w:r>
      <w:r>
        <w:t xml:space="preserve">excitation </w:t>
      </w:r>
      <w:r>
        <w:rPr>
          <w:rFonts w:ascii="Cambria" w:eastAsia="Cambria" w:hAnsi="Cambria" w:cs="Cambria"/>
        </w:rPr>
        <w:t>→</w:t>
      </w:r>
    </w:p>
    <w:p w14:paraId="76AF889C" w14:textId="77777777" w:rsidR="00E76A90" w:rsidRDefault="00000000">
      <w:pPr>
        <w:ind w:left="-5"/>
      </w:pPr>
      <w:r>
        <w:t>derived-quantities table as CSV. The homogenized 5</w:t>
      </w:r>
      <w:r>
        <w:rPr>
          <w:rFonts w:ascii="Cambria" w:eastAsia="Cambria" w:hAnsi="Cambria" w:cs="Cambria"/>
          <w:sz w:val="16"/>
        </w:rPr>
        <w:t xml:space="preserve">′′ </w:t>
      </w:r>
      <w:r>
        <w:t xml:space="preserve">common-beam FITS cubes and moment maps, the aperture spectra, and the </w:t>
      </w:r>
      <w:proofErr w:type="spellStart"/>
      <w:r>
        <w:t>T_ex</w:t>
      </w:r>
      <w:proofErr w:type="spellEnd"/>
      <w:r>
        <w:t xml:space="preserve"> / N(SiO) / N(SiO)–CO table constitute the deliverable. Every figure should regenerate from the CSVs with a single script.</w:t>
      </w:r>
    </w:p>
    <w:p w14:paraId="4718C08F" w14:textId="77777777" w:rsidR="00E76A90" w:rsidRDefault="00000000">
      <w:pPr>
        <w:ind w:left="-5"/>
      </w:pPr>
      <w:r>
        <w:t>A workable pace: Steps 1–2 in the first three to four weeks (the audit will take longer than you expect and will surface at least one of the coordinate, naming, or window-edge problems above); Steps 3–4 through mid-semester, with the homogenization validated on one source end-to-end before you touch the other six; Steps 5–7 as a single push once the pipeline is scripted, since it then runs per-source in minutes; Steps 8–9 and writing in the final third. Build the whole chain on one bright, well-behaved source first — BHR 71 and HH 212 both have among the better line sensitivities in the table — and only then run all seven through the identical script. If you find yourself doing anything by hand for the second source that you did by hand for the first, stop and script it.</w:t>
      </w:r>
    </w:p>
    <w:sectPr w:rsidR="00E76A90">
      <w:footerReference w:type="even" r:id="rId7"/>
      <w:footerReference w:type="default" r:id="rId8"/>
      <w:footerReference w:type="first" r:id="rId9"/>
      <w:pgSz w:w="12240" w:h="15840"/>
      <w:pgMar w:top="1466" w:right="1440" w:bottom="1441"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10AD6" w14:textId="77777777" w:rsidR="00AC20F4" w:rsidRDefault="00AC20F4">
      <w:pPr>
        <w:spacing w:after="0" w:line="240" w:lineRule="auto"/>
      </w:pPr>
      <w:r>
        <w:separator/>
      </w:r>
    </w:p>
  </w:endnote>
  <w:endnote w:type="continuationSeparator" w:id="0">
    <w:p w14:paraId="1FD4B8ED" w14:textId="77777777" w:rsidR="00AC20F4" w:rsidRDefault="00AC2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B71A" w14:textId="77777777" w:rsidR="00E76A90"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BEAD" w14:textId="77777777" w:rsidR="00E76A90"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3EF4" w14:textId="77777777" w:rsidR="00E76A90"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77980" w14:textId="77777777" w:rsidR="00AC20F4" w:rsidRDefault="00AC20F4">
      <w:pPr>
        <w:spacing w:after="0" w:line="240" w:lineRule="auto"/>
      </w:pPr>
      <w:r>
        <w:separator/>
      </w:r>
    </w:p>
  </w:footnote>
  <w:footnote w:type="continuationSeparator" w:id="0">
    <w:p w14:paraId="1A6B5891" w14:textId="77777777" w:rsidR="00AC20F4" w:rsidRDefault="00AC2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7A1C"/>
    <w:multiLevelType w:val="hybridMultilevel"/>
    <w:tmpl w:val="9ED86490"/>
    <w:lvl w:ilvl="0" w:tplc="4866D468">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8E135A">
      <w:start w:val="1"/>
      <w:numFmt w:val="bullet"/>
      <w:lvlText w:val="o"/>
      <w:lvlJc w:val="left"/>
      <w:pPr>
        <w:ind w:left="1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7E7A08">
      <w:start w:val="1"/>
      <w:numFmt w:val="bullet"/>
      <w:lvlText w:val="▪"/>
      <w:lvlJc w:val="left"/>
      <w:pPr>
        <w:ind w:left="20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ACBC32">
      <w:start w:val="1"/>
      <w:numFmt w:val="bullet"/>
      <w:lvlText w:val="•"/>
      <w:lvlJc w:val="left"/>
      <w:pPr>
        <w:ind w:left="27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6CCEEC">
      <w:start w:val="1"/>
      <w:numFmt w:val="bullet"/>
      <w:lvlText w:val="o"/>
      <w:lvlJc w:val="left"/>
      <w:pPr>
        <w:ind w:left="35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386E5C">
      <w:start w:val="1"/>
      <w:numFmt w:val="bullet"/>
      <w:lvlText w:val="▪"/>
      <w:lvlJc w:val="left"/>
      <w:pPr>
        <w:ind w:left="4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824040">
      <w:start w:val="1"/>
      <w:numFmt w:val="bullet"/>
      <w:lvlText w:val="•"/>
      <w:lvlJc w:val="left"/>
      <w:pPr>
        <w:ind w:left="4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A68EA6">
      <w:start w:val="1"/>
      <w:numFmt w:val="bullet"/>
      <w:lvlText w:val="o"/>
      <w:lvlJc w:val="left"/>
      <w:pPr>
        <w:ind w:left="5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C5DF2">
      <w:start w:val="1"/>
      <w:numFmt w:val="bullet"/>
      <w:lvlText w:val="▪"/>
      <w:lvlJc w:val="left"/>
      <w:pPr>
        <w:ind w:left="63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054951"/>
    <w:multiLevelType w:val="hybridMultilevel"/>
    <w:tmpl w:val="FD2ABA06"/>
    <w:lvl w:ilvl="0" w:tplc="07521552">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F803C8">
      <w:start w:val="1"/>
      <w:numFmt w:val="bullet"/>
      <w:lvlText w:val="o"/>
      <w:lvlJc w:val="left"/>
      <w:pPr>
        <w:ind w:left="1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BCACD0">
      <w:start w:val="1"/>
      <w:numFmt w:val="bullet"/>
      <w:lvlText w:val="▪"/>
      <w:lvlJc w:val="left"/>
      <w:pPr>
        <w:ind w:left="20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765F60">
      <w:start w:val="1"/>
      <w:numFmt w:val="bullet"/>
      <w:lvlText w:val="•"/>
      <w:lvlJc w:val="left"/>
      <w:pPr>
        <w:ind w:left="27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364282">
      <w:start w:val="1"/>
      <w:numFmt w:val="bullet"/>
      <w:lvlText w:val="o"/>
      <w:lvlJc w:val="left"/>
      <w:pPr>
        <w:ind w:left="35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929F76">
      <w:start w:val="1"/>
      <w:numFmt w:val="bullet"/>
      <w:lvlText w:val="▪"/>
      <w:lvlJc w:val="left"/>
      <w:pPr>
        <w:ind w:left="4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FC665E">
      <w:start w:val="1"/>
      <w:numFmt w:val="bullet"/>
      <w:lvlText w:val="•"/>
      <w:lvlJc w:val="left"/>
      <w:pPr>
        <w:ind w:left="4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00ABFC">
      <w:start w:val="1"/>
      <w:numFmt w:val="bullet"/>
      <w:lvlText w:val="o"/>
      <w:lvlJc w:val="left"/>
      <w:pPr>
        <w:ind w:left="5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42FFC4">
      <w:start w:val="1"/>
      <w:numFmt w:val="bullet"/>
      <w:lvlText w:val="▪"/>
      <w:lvlJc w:val="left"/>
      <w:pPr>
        <w:ind w:left="63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BDF0BD9"/>
    <w:multiLevelType w:val="hybridMultilevel"/>
    <w:tmpl w:val="BD227938"/>
    <w:lvl w:ilvl="0" w:tplc="D0E0A2F0">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DEAC4A">
      <w:start w:val="1"/>
      <w:numFmt w:val="bullet"/>
      <w:lvlText w:val="o"/>
      <w:lvlJc w:val="left"/>
      <w:pPr>
        <w:ind w:left="1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4ECD54">
      <w:start w:val="1"/>
      <w:numFmt w:val="bullet"/>
      <w:lvlText w:val="▪"/>
      <w:lvlJc w:val="left"/>
      <w:pPr>
        <w:ind w:left="20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9609C8">
      <w:start w:val="1"/>
      <w:numFmt w:val="bullet"/>
      <w:lvlText w:val="•"/>
      <w:lvlJc w:val="left"/>
      <w:pPr>
        <w:ind w:left="27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8E9BA6">
      <w:start w:val="1"/>
      <w:numFmt w:val="bullet"/>
      <w:lvlText w:val="o"/>
      <w:lvlJc w:val="left"/>
      <w:pPr>
        <w:ind w:left="35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EC60AC">
      <w:start w:val="1"/>
      <w:numFmt w:val="bullet"/>
      <w:lvlText w:val="▪"/>
      <w:lvlJc w:val="left"/>
      <w:pPr>
        <w:ind w:left="4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FEAE5E">
      <w:start w:val="1"/>
      <w:numFmt w:val="bullet"/>
      <w:lvlText w:val="•"/>
      <w:lvlJc w:val="left"/>
      <w:pPr>
        <w:ind w:left="4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E6BDD6">
      <w:start w:val="1"/>
      <w:numFmt w:val="bullet"/>
      <w:lvlText w:val="o"/>
      <w:lvlJc w:val="left"/>
      <w:pPr>
        <w:ind w:left="5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6C214E">
      <w:start w:val="1"/>
      <w:numFmt w:val="bullet"/>
      <w:lvlText w:val="▪"/>
      <w:lvlJc w:val="left"/>
      <w:pPr>
        <w:ind w:left="63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07828682">
    <w:abstractNumId w:val="2"/>
  </w:num>
  <w:num w:numId="2" w16cid:durableId="191236563">
    <w:abstractNumId w:val="0"/>
  </w:num>
  <w:num w:numId="3" w16cid:durableId="2062974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A90"/>
    <w:rsid w:val="002F2A0D"/>
    <w:rsid w:val="00790F07"/>
    <w:rsid w:val="00AC20F4"/>
    <w:rsid w:val="00E7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2FA9"/>
  <w15:docId w15:val="{EC16A15D-1FEB-4AB9-93FF-6B840F5F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6"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32" w:line="256"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4028</Words>
  <Characters>22961</Characters>
  <Application>Microsoft Office Word</Application>
  <DocSecurity>0</DocSecurity>
  <Lines>191</Lines>
  <Paragraphs>53</Paragraphs>
  <ScaleCrop>false</ScaleCrop>
  <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Black</dc:creator>
  <cp:keywords/>
  <cp:lastModifiedBy>Charles Black</cp:lastModifiedBy>
  <cp:revision>2</cp:revision>
  <dcterms:created xsi:type="dcterms:W3CDTF">2026-08-06T17:38:00Z</dcterms:created>
  <dcterms:modified xsi:type="dcterms:W3CDTF">2026-08-06T17:38:00Z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2b7c3ec1-cd3c-4d7e-99f6-faf62bc26c10</vt:lpwstr>
  </property>
</Properties>
</file>