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eading3"/>
      </w:pPr>
      <w:bookmarkStart w:id="11" w:name="pmd-heading-0000000b"/>
      <w:r>
        <w:t xml:space="preserve">AT: Reserve Margin Turn</w:t>
      </w:r>
      <w:bookmarkEnd w:id="11"/>
    </w:p>
    <w:p>
      <w:pPr>
        <w:pStyle w:val="Heading4"/>
      </w:pPr>
      <w:bookmarkStart w:id="12" w:name="pmd-heading-0000000c"/>
      <w:r>
        <w:t xml:space="preserve">Data centre demand collapses the reserve margin</w:t>
      </w:r>
      <w:bookmarkEnd w:id="12"/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rStyle w:val="StyleUnderline"/>
          <w:u w:val="single"/>
          <w:highlight w:val="cyan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  <w:p>
      <w:pPr>
        <w:pStyle w:val="Heading4"/>
      </w:pPr>
      <w:bookmarkStart w:id="13" w:name="pmd-heading-0000000d"/>
      <w:r>
        <w:t xml:space="preserve">Reserve margins are already below the planning standard</w:t>
      </w:r>
      <w:bookmarkEnd w:id="13"/>
    </w:p>
    <w:p>
      <w:r>
        <w:rPr>
          <w:rStyle w:val="Style13ptBold"/>
        </w:rPr>
        <w:t xml:space="preserve">Ferreira 25</w:t>
      </w:r>
      <w:r>
        <w:t xml:space="preserve"> (Journal of Grid Studies, 2 November 2025).</w:t>
      </w:r>
    </w:p>
    <w:p>
      <w:r>
        <w:rPr>
          <w:sz w:val="16"/>
        </w:rPr>
        <w:t xml:space="preserve">The regional planning authority's own filings show that </w:t>
      </w:r>
      <w:r>
        <w:rPr>
          <w:rStyle w:val="StyleUnderline"/>
          <w:u w:val="single"/>
          <w:sz w:val="22"/>
        </w:rPr>
        <w:t xml:space="preserve">three of five zones fell below the target margin</w:t>
      </w:r>
      <w:r>
        <w:rPr>
          <w:sz w:val="16"/>
        </w:rPr>
        <w:t xml:space="preserve"> in the last planning cycle.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