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pPr>
        <w:pStyle w:val="Analytic"/>
      </w:pPr>
      <w:r>
        <w:t xml:space="preserve">Disclosed cards (FILE_IMPORT) from hspolicy26, each copied from the file that disclosed it and not verified by this platform. Who disclosed each card is below its cite.</w:t>
      </w:r>
    </w:p>
    <w:p>
      <w:pPr>
        <w:pStyle w:val="Heading1"/>
      </w:pPr>
      <w:r>
        <w:t xml:space="preserve">Synthetic pocket</w:t>
      </w:r>
    </w:p>
    <w:p>
      <w:pPr>
        <w:pStyle w:val="Heading2"/>
      </w:pPr>
      <w:r>
        <w:t xml:space="preserve">Synthetic hat</w:t>
      </w:r>
    </w:p>
    <w:p>
      <w:pPr>
        <w:pStyle w:val="Heading3"/>
      </w:pPr>
      <w:r>
        <w:t xml:space="preserve">Prices</w:t>
      </w:r>
    </w:p>
    <w:p>
      <w:pPr>
        <w:pStyle w:val="Heading4"/>
      </w:pPr>
      <w:r>
        <w:t xml:space="preserve">Prices rise - the coach's own tag</w:t>
      </w:r>
    </w:p>
    <w:p>
      <w:r>
        <w:rPr>
          <w:rStyle w:val="Style13ptBold"/>
        </w:rPr>
        <w:t xml:space="preserve">Lindqvist 26</w:t>
      </w:r>
      <w:r>
        <w:t xml:space="preserve">, Senior Fellow, Synthetic Energy Review, 2026</w:t>
      </w:r>
    </w:p>
    <w:p>
      <w:pPr>
        <w:pStyle w:val="Undertag"/>
      </w:pPr>
      <w:r>
        <w:t xml:space="preserve">[Disclosed: hspolicy26 2026-09-15 — Maple Grove QX, Aff vs. Riverbend Invitational Round 4]</w:t>
      </w:r>
    </w:p>
    <w:p>
      <w:r>
        <w:rPr>
          <w:sz w:val="16"/>
        </w:rPr>
        <w:t xml:space="preserve">A moratorium </w:t>
      </w:r>
      <w:r>
        <w:rPr>
          <w:rStyle w:val="StyleUnderline"/>
          <w:highlight w:val="cyan"/>
        </w:rPr>
        <w:t xml:space="preserve">freezes supply</w:t>
      </w:r>
      <w:r>
        <w:rPr>
          <w:sz w:val="16"/>
        </w:rPr>
        <w:t xml:space="preserve"> while demand rises.</w:t>
      </w:r>
    </w:p>
    <w:p>
      <w:pPr>
        <w:pStyle w:val="Analytic"/>
      </w:pPr>
      <w:r>
        <w:t xml:space="preserve">The moratorium trades a small saving for a large risk.</w:t>
      </w:r>
    </w:p>
    <w:p>
      <w:pPr>
        <w:pStyle w:val="Heading4"/>
      </w:pPr>
      <w:r>
        <w:t xml:space="preserve">Reliability falls first in the summer peak</w:t>
      </w:r>
    </w:p>
    <w:p>
      <w:r>
        <w:rPr>
          <w:rStyle w:val="Style13ptBold"/>
        </w:rPr>
        <w:t xml:space="preserve">Okonkwo 25</w:t>
      </w:r>
      <w:r>
        <w:t xml:space="preserve">, Grid Analyst, Synthetic Utility Quarterly, 2025</w:t>
      </w:r>
    </w:p>
    <w:p>
      <w:pPr>
        <w:pStyle w:val="Undertag"/>
      </w:pPr>
      <w:r>
        <w:t xml:space="preserve">[Disclosed: hspolicy26 2026-09-15 — Maple Grove QX, Aff vs. Riverbend Invitational Round 4]</w:t>
      </w:r>
    </w:p>
    <w:p>
      <w:r>
        <w:rPr>
          <w:sz w:val="16"/>
        </w:rPr>
        <w:t xml:space="preserve">Operators </w:t>
      </w:r>
      <w:r>
        <w:rPr>
          <w:rStyle w:val="StyleUnderline"/>
          <w:highlight w:val="cyan"/>
        </w:rPr>
        <w:t xml:space="preserve">shed load</w:t>
      </w:r>
      <w:r>
        <w:rPr>
          <w:sz w:val="16"/>
        </w:rPr>
        <w:t xml:space="preserve"> when reserves run thin.</w:t>
      </w:r>
    </w:p>
    <w:p>
      <w:pPr>
        <w:pStyle w:val="Heading3"/>
      </w:pPr>
      <w:r>
        <w:t xml:space="preserve">Revenue</w:t>
      </w:r>
    </w:p>
    <w:p>
      <w:pPr>
        <w:pStyle w:val="Heading4"/>
      </w:pPr>
      <w:r>
        <w:t xml:space="preserve">Data centres bring tax revenue</w:t>
      </w:r>
    </w:p>
    <w:p>
      <w:r>
        <w:rPr>
          <w:rStyle w:val="Style13ptBold"/>
        </w:rPr>
        <w:t xml:space="preserve">Achterberg 26</w:t>
      </w:r>
      <w:r>
        <w:t xml:space="preserve">, Economist, Synthetic Fiscal Review, 2026</w:t>
      </w:r>
    </w:p>
    <w:p>
      <w:pPr>
        <w:pStyle w:val="Undertag"/>
      </w:pPr>
      <w:r>
        <w:t xml:space="preserve">[Disclosed: hspolicy26 2026-09-15 — Cedar Hollow ZaLu, Neg vs. Riverbend Invitational Semis]</w:t>
      </w:r>
    </w:p>
    <w:p>
      <w:pPr>
        <w:pStyle w:val="Heading4"/>
      </w:pPr>
      <w:r>
        <w:t xml:space="preserve">The cite alone, a card disclosed without its text</w:t>
      </w:r>
    </w:p>
    <w:p>
      <w:r>
        <w:rPr>
          <w:rStyle w:val="Style13ptBold"/>
        </w:rPr>
        <w:t xml:space="preserve">Marsh 24</w:t>
      </w:r>
      <w:r>
        <w:t xml:space="preserve">, Professor, Synthetic Law Review, 2024</w:t>
      </w:r>
    </w:p>
    <w:p>
      <w:pPr>
        <w:pStyle w:val="Undertag"/>
      </w:pPr>
      <w:r>
        <w:t xml:space="preserve">[Disclosed: hspolicy26 2026-09-15 — Cedar Hollow ZaLu, Neg vs. Riverbend Invitational Semis]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Heading1">
    <w:name w:val="heading 1"/>
    <w:basedOn w:val="Normal"/>
    <w:next w:val="Normal"/>
    <w:qFormat/>
    <w:pPr>
      <w:keepNext/>
      <w:pageBreakBefore/>
      <w:outlineLvl w:val="0"/>
    </w:pPr>
    <w:rPr>
      <w:b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pageBreakBefore/>
      <w:outlineLvl w:val="1"/>
    </w:pPr>
    <w:rPr>
      <w:b/>
      <w:sz w:val="44"/>
      <w:szCs w:val="44"/>
      <w:u w:val="double"/>
    </w:rPr>
  </w:style>
  <w:style w:type="paragraph" w:styleId="Heading3">
    <w:name w:val="heading 3"/>
    <w:basedOn w:val="Normal"/>
    <w:next w:val="Normal"/>
    <w:qFormat/>
    <w:pPr>
      <w:keepNext/>
      <w:pageBreakBefore/>
      <w:outlineLvl w:val="2"/>
    </w:pPr>
    <w:rPr>
      <w:b/>
      <w:sz w:val="32"/>
      <w:szCs w:val="3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6"/>
      <w:szCs w:val="26"/>
    </w:rPr>
  </w:style>
  <w:style w:type="paragraph" w:styleId="Analytic">
    <w:name w:val="Analytic"/>
    <w:basedOn w:val="Heading4"/>
    <w:qFormat/>
    <w:rPr>
      <w:color w:val="1F3864"/>
    </w:rPr>
  </w:style>
  <w:style w:type="paragraph" w:styleId="Undertag">
    <w:name w:val="Undertag"/>
    <w:basedOn w:val="Normal"/>
    <w:qFormat/>
    <w:rPr>
      <w:rFonts w:ascii="Times New Roman" w:hAnsi="Times New Roman" w:cs="Times New Roman"/>
      <w:color w:val="385623"/>
      <w:sz w:val="24"/>
      <w:szCs w:val="24"/>
    </w:rPr>
  </w:style>
  <w:style w:type="character" w:styleId="Style13ptBold">
    <w:name w:val="Style 13 pt Bold"/>
    <w:basedOn w:val="DefaultParagraphFont"/>
    <w:qFormat/>
    <w:rPr>
      <w:b/>
      <w:sz w:val="26"/>
      <w:szCs w:val="26"/>
      <w:u w:val="none"/>
    </w:rPr>
  </w:style>
  <w:style w:type="character" w:styleId="StyleUnderline">
    <w:name w:val="Style Underline"/>
    <w:basedOn w:val="DefaultParagraphFont"/>
    <w:qFormat/>
    <w:rPr>
      <w:b w:val="0"/>
      <w:sz w:val="22"/>
      <w:szCs w:val="22"/>
      <w:u w:val="single"/>
    </w:rPr>
  </w:style>
  <w:style w:type="character" w:styleId="Emphasis">
    <w:name w:val="Emphasis"/>
    <w:basedOn w:val="DefaultParagraphFont"/>
    <w:qFormat/>
    <w:rPr>
      <w:rFonts w:ascii="Times New Roman" w:hAnsi="Times New Roman" w:cs="Times New Roman"/>
      <w:sz w:val="22"/>
      <w:szCs w:val="22"/>
      <w:u w:val="single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character" w:styleId="Heading4Char">
    <w:name w:val="Heading 4 Char"/>
    <w:basedOn w:val="DefaultParagraphFont"/>
    <w:qFormat/>
    <w:rPr>
      <w:b/>
      <w:sz w:val="26"/>
      <w:szCs w:val="26"/>
    </w:rPr>
  </w:style>
  <w:style w:type="character" w:styleId="UndertagChar">
    <w:name w:val="Undertag Char"/>
    <w:basedOn w:val="DefaultParagraphFont"/>
    <w:qFormat/>
    <w:rPr>
      <w:rFonts w:ascii="Times New Roman" w:hAnsi="Times New Roman" w:cs="Times New Roman"/>
      <w:color w:val="385623"/>
      <w:sz w:val="24"/>
      <w:szCs w:val="24"/>
    </w:rPr>
  </w:style>
  <w:style w:type="character" w:styleId="AnalyticChar">
    <w:name w:val="Analytic Char"/>
    <w:basedOn w:val="DefaultParagraphFont"/>
    <w:qFormat/>
    <w:rPr>
      <w:b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Synthetic file</dc:title>
</cp:coreProperties>
</file>