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Infraestrutura Pública de Inteligência Artificial e a Redefinição da Extensão Rural: Soberania Tecnológica, Inclusão Socioprodutiva e Desburocratização no Campo Brasileiro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Retrato da Vulnerabilidade Rural e a Impossibilidade Geométrica da Ater Presencial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análise empírica do perfil sociodemográfico e operacional do meio rural brasileiro revela que a vulnerabilidade produtiva e o isolamento técnico possuem uma representação socioeconômica concreta. A trajetória de Maria das Dores, agricultora familiar de </w:t>
      </w:r>
      <w:r w:rsidDel="00000000" w:rsidR="00000000" w:rsidRPr="00000000">
        <w:rPr>
          <w:rFonts w:ascii="Google Sans" w:cs="Google Sans" w:eastAsia="Google Sans" w:hAnsi="Google Sans"/>
          <w:color w:val="1f1f1f"/>
        </w:rPr>
        <w:drawing>
          <wp:inline distB="19050" distT="19050" distL="19050" distR="19050">
            <wp:extent cx="184354" cy="224432"/>
            <wp:effectExtent b="0" l="0" r="0" t="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84354" cy="224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anos residente no Sertão paraibano, ilustra a rotina de milhões de produtores: o despertar às </w:t>
      </w:r>
      <w:r w:rsidDel="00000000" w:rsidR="00000000" w:rsidRPr="00000000">
        <w:rPr>
          <w:rFonts w:ascii="Google Sans" w:cs="Google Sans" w:eastAsia="Google Sans" w:hAnsi="Google Sans"/>
          <w:color w:val="1f1f1f"/>
        </w:rPr>
        <w:drawing>
          <wp:inline distB="19050" distT="19050" distL="19050" distR="19050">
            <wp:extent cx="194797" cy="227263"/>
            <wp:effectExtent b="0" l="0" r="0" t="0"/>
            <wp:docPr id="1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4797" cy="227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a colheita manual de feijão, a incerteza diante de pragas no cultivo do tomate, as dúvidas burocráticas sobre o preenchimento de formulários de acesso ao Programa de Aquisição de Alimentos (PAA) e a barreira geográfica de um escritório da Empresa de Assistência Técnica e Extensão Rural (EMATER) situado a </w:t>
      </w:r>
      <w:r w:rsidDel="00000000" w:rsidR="00000000" w:rsidRPr="00000000">
        <w:rPr>
          <w:rFonts w:ascii="Google Sans" w:cs="Google Sans" w:eastAsia="Google Sans" w:hAnsi="Google Sans"/>
          <w:color w:val="1f1f1f"/>
        </w:rPr>
        <w:drawing>
          <wp:inline distB="19050" distT="19050" distL="19050" distR="19050">
            <wp:extent cx="481411" cy="213960"/>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1411" cy="213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sua propriedade.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Com um quadro funcional sobrecarregado, onde um único agente extensionista é responsável pelo atendimento de </w:t>
      </w:r>
      <w:r w:rsidDel="00000000" w:rsidR="00000000" w:rsidRPr="00000000">
        <w:rPr>
          <w:rFonts w:ascii="Google Sans" w:cs="Google Sans" w:eastAsia="Google Sans" w:hAnsi="Google Sans"/>
          <w:color w:val="1f1f1f"/>
        </w:rPr>
        <w:drawing>
          <wp:inline distB="19050" distT="19050" distL="19050" distR="19050">
            <wp:extent cx="276533" cy="221226"/>
            <wp:effectExtent b="0" l="0" r="0" t="0"/>
            <wp:docPr id="1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76533" cy="2212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famílias rurais, a presença física do Estado torna-se esporádica e inacessível na prática.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Sob conectividade móvel intermitente de terceira geração (</w:t>
      </w:r>
      <w:r w:rsidDel="00000000" w:rsidR="00000000" w:rsidRPr="00000000">
        <w:rPr>
          <w:rFonts w:ascii="Google Sans" w:cs="Google Sans" w:eastAsia="Google Sans" w:hAnsi="Google Sans"/>
          <w:color w:val="1f1f1f"/>
        </w:rPr>
        <w:drawing>
          <wp:inline distB="19050" distT="19050" distL="19050" distR="19050">
            <wp:extent cx="236925" cy="213997"/>
            <wp:effectExtent b="0" l="0" r="0" t="0"/>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36925" cy="2139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abertura assíncrona de uma interface conversacional como o WhatsApp surge como o único canal viável de comunicação instantânea, definindo o ponto exato de intervenção onde a infraestrutura tecnológica do projeto Roça Conectada se estabelece.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Esse cenário de isolamento é corroborado pelos dados macroeconômicos do setor. De acordo com o Censo Agropecuário do Instituto Brasileiro de Geografia e Estatística (IBGE), a agricultura familiar representa </w:t>
      </w:r>
      <w:r w:rsidDel="00000000" w:rsidR="00000000" w:rsidRPr="00000000">
        <w:rPr>
          <w:rFonts w:ascii="Google Sans" w:cs="Google Sans" w:eastAsia="Google Sans" w:hAnsi="Google Sans"/>
          <w:color w:val="1f1f1f"/>
        </w:rPr>
        <w:drawing>
          <wp:inline distB="19050" distT="19050" distL="19050" distR="19050">
            <wp:extent cx="295736" cy="186781"/>
            <wp:effectExtent b="0" l="0" r="0" t="0"/>
            <wp:docPr id="1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95736" cy="186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 total de estabelecimentos agropecuários do país, sendo responsável por empregar cerca de </w:t>
      </w:r>
      <w:r w:rsidDel="00000000" w:rsidR="00000000" w:rsidRPr="00000000">
        <w:rPr>
          <w:rFonts w:ascii="Google Sans" w:cs="Google Sans" w:eastAsia="Google Sans" w:hAnsi="Google Sans"/>
          <w:color w:val="1f1f1f"/>
        </w:rPr>
        <w:drawing>
          <wp:inline distB="19050" distT="19050" distL="19050" distR="19050">
            <wp:extent cx="313739" cy="188244"/>
            <wp:effectExtent b="0" l="0" r="0" t="0"/>
            <wp:docPr id="1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13739" cy="1882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milhões de pessoas e produzir aproximadamente </w:t>
      </w:r>
      <w:r w:rsidDel="00000000" w:rsidR="00000000" w:rsidRPr="00000000">
        <w:rPr>
          <w:rFonts w:ascii="Google Sans" w:cs="Google Sans" w:eastAsia="Google Sans" w:hAnsi="Google Sans"/>
          <w:color w:val="1f1f1f"/>
        </w:rPr>
        <w:drawing>
          <wp:inline distB="19050" distT="19050" distL="19050" distR="19050">
            <wp:extent cx="337984" cy="220083"/>
            <wp:effectExtent b="0" l="0" r="0" t="0"/>
            <wp:docPr id="2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37984" cy="220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dos alimentos que compõem a cesta básica consumida pela população brasileira.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Métrica de Desempenho e Estrutura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Agricultura Familiar (AF)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Agricultura Comercial / Patronal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Representação nos Estabelecimentos Totais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295736" cy="186781"/>
                  <wp:effectExtent b="0" l="0" r="0" t="0"/>
                  <wp:docPr id="19"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95736" cy="18678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37984" cy="220083"/>
                  <wp:effectExtent b="0" l="0" r="0" t="0"/>
                  <wp:docPr id="2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37984" cy="22008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Absorção de Mão de Obra Rural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313739" cy="188244"/>
                  <wp:effectExtent b="0" l="0" r="0" t="0"/>
                  <wp:docPr id="2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13739" cy="18824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milhões de trabalhadores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80655" cy="215081"/>
                  <wp:effectExtent b="0" l="0" r="0" t="0"/>
                  <wp:docPr id="24"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80655" cy="21508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milhões de trabalhadores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Participação na Renda Agrícola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337984" cy="220083"/>
                  <wp:effectExtent b="0" l="0" r="0" t="0"/>
                  <wp:docPr id="2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37984" cy="22008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295736" cy="186781"/>
                  <wp:effectExtent b="0" l="0" r="0" t="0"/>
                  <wp:docPr id="29"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95736" cy="18678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Taxa de Mecanização Regional (Nordeste vs. Centro-Oeste)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215080" cy="184354"/>
                  <wp:effectExtent b="0" l="0" r="0" t="0"/>
                  <wp:docPr id="31"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215080" cy="18435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(Neste recorte sob AF)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37984" cy="220083"/>
                  <wp:effectExtent b="0" l="0" r="0" t="0"/>
                  <wp:docPr id="33"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337984" cy="22008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(Áreas de latifúndio)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Apesar de sua relevância para a segurança alimentar do país, a agricultura familiar captura apenas </w:t>
      </w:r>
      <w:r w:rsidDel="00000000" w:rsidR="00000000" w:rsidRPr="00000000">
        <w:rPr>
          <w:rFonts w:ascii="Google Sans" w:cs="Google Sans" w:eastAsia="Google Sans" w:hAnsi="Google Sans"/>
          <w:color w:val="1f1f1f"/>
        </w:rPr>
        <w:drawing>
          <wp:inline distB="19050" distT="19050" distL="19050" distR="19050">
            <wp:extent cx="337984" cy="220083"/>
            <wp:effectExtent b="0" l="0" r="0" t="0"/>
            <wp:docPr id="3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37984" cy="220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 renda global gerada no campo, evidenciando uma assimetria estrutural na apropriação do valor produzido.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Essa margem de rentabilidade comprimida inviabiliza investimentos autônomos na modernização das propriedades, acentuando a dependência histórica de políticas públicas de assistência técnica e fomento produtivo.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âmbito da prestação de assistência, o modelo puramente presencial de Assistência Técnica e Extensão Rural (ATER) deparou-se com um teto geométrico intransponível. A razão média nacional é de aproximadamente </w:t>
      </w:r>
      <w:r w:rsidDel="00000000" w:rsidR="00000000" w:rsidRPr="00000000">
        <w:rPr>
          <w:rFonts w:ascii="Google Sans" w:cs="Google Sans" w:eastAsia="Google Sans" w:hAnsi="Google Sans"/>
          <w:color w:val="1f1f1f"/>
        </w:rPr>
        <w:drawing>
          <wp:inline distB="19050" distT="19050" distL="19050" distR="19050">
            <wp:extent cx="92177" cy="215081"/>
            <wp:effectExtent b="0" l="0" r="0" t="0"/>
            <wp:docPr id="37"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92177" cy="2150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extensionista para cada </w:t>
      </w:r>
      <w:r w:rsidDel="00000000" w:rsidR="00000000" w:rsidRPr="00000000">
        <w:rPr>
          <w:rFonts w:ascii="Google Sans" w:cs="Google Sans" w:eastAsia="Google Sans" w:hAnsi="Google Sans"/>
          <w:color w:val="1f1f1f"/>
        </w:rPr>
        <w:drawing>
          <wp:inline distB="19050" distT="19050" distL="19050" distR="19050">
            <wp:extent cx="276533" cy="221226"/>
            <wp:effectExtent b="0" l="0" r="0" t="0"/>
            <wp:docPr id="39"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276533" cy="2212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famílias de agricultores familiares, índice documentado pela EMBRAPA e pelo Departamento de Assistência Técnica e Extensão Rural do Ministério do Desenvolvimento Agrário (DATER/MDA).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Esse indicador contrasta com as diretrizes da Organização das Nações Unidas para a Alimentação e a Agricultura (FAO), que estabelecem como patamar mínimo para uma assistência técnica contínua e de alta qualidade a proporção de </w:t>
      </w:r>
      <w:r w:rsidDel="00000000" w:rsidR="00000000" w:rsidRPr="00000000">
        <w:rPr>
          <w:rFonts w:ascii="Google Sans" w:cs="Google Sans" w:eastAsia="Google Sans" w:hAnsi="Google Sans"/>
          <w:color w:val="1f1f1f"/>
        </w:rPr>
        <w:drawing>
          <wp:inline distB="19050" distT="19050" distL="19050" distR="19050">
            <wp:extent cx="430161" cy="218991"/>
            <wp:effectExtent b="0" l="0" r="0" t="0"/>
            <wp:docPr id="40"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30161" cy="2189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Essa lacuna operacional não decorre de inércia histórica, mas de um estrangulamento fiscal contínuo. Os orçamentos públicos federais e estaduais destinados à extensão rural sofreram contingenciamentos sistemáticos nas últimas duas décadas, conforme evidenciado nos relatórios do Sistema Integrado de Administração Financeira (SIAFI) e nas Leis Orçamentárias Anuais (LOAs).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Agência Nacional de Assistência Técnica e Extensão Rural (ANATER), instituída pela Lei nº 12.897/2013 como o órgão articulador nacional da extensão, opera abaixo de sua capacidade orçamentária e funcional planejada, enquanto os </w:t>
      </w:r>
      <w:r w:rsidDel="00000000" w:rsidR="00000000" w:rsidRPr="00000000">
        <w:rPr>
          <w:rFonts w:ascii="Google Sans" w:cs="Google Sans" w:eastAsia="Google Sans" w:hAnsi="Google Sans"/>
          <w:color w:val="1f1f1f"/>
        </w:rPr>
        <w:drawing>
          <wp:inline distB="19050" distT="19050" distL="19050" distR="19050">
            <wp:extent cx="184354" cy="224432"/>
            <wp:effectExtent b="0" l="0" r="0" t="0"/>
            <wp:docPr id="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84354" cy="224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sistemas estaduais de ATER atuam de forma isolada, herdando incompatibilidades tecnológicas e metodológicas que impedem o ganho de escala nacional.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superação desse gargalo exige uma transição de paradigma. O fomento à digitalização das cadeias socioprodutivas, meta explícita da chamada pública de Ciência, Tecnologia e Inovação (CT&amp;I), não se coloca como uma escolha metodológica opcional, mas como a única via matematicamente viável para expandir o alcance da ATER por ordens de magnitude. O Pronaf Conectividade surge nesse contexto regulatório como um instrumento de crédito direcionado à aquisição de equipamentos de comunicação.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No entanto, a formulação de projetos aptos a captar esses recursos demanda, contraditoriamente, a própria assistência técnica que escasseia no campo, reforçando a urgência de uma camada de triagem e orientação digital descentralizada.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Falha de Mercado e as Assimetrias do Ecossistema de Agritechs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florescimento do ecossistema de startups voltadas ao agronegócio (agritechs) no Brasil gerou uma ampla gama de ferramentas digitais sofisticadas voltadas à gestão integrada de propriedades, telemetria de frotas, imagens de satélite e agricultura de precisão. Contudo, marcas como Aegro, Agronow, Climate Corporation e Syngenta Digital operam sob um modelo de negócios desenhado estritamente para o agronegócio de grande e médio porte, caracterizado por conectividade de alta velocidade estável, capacidade financeira para arcar com assinaturas recorrentes de alto valor (SaaS) e retorno econômico que justifica a aquisição de licenças individuais.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os </w:t>
      </w:r>
      <w:r w:rsidDel="00000000" w:rsidR="00000000" w:rsidRPr="00000000">
        <w:rPr>
          <w:rFonts w:ascii="Google Sans" w:cs="Google Sans" w:eastAsia="Google Sans" w:hAnsi="Google Sans"/>
          <w:color w:val="1f1f1f"/>
        </w:rPr>
        <w:drawing>
          <wp:inline distB="19050" distT="19050" distL="19050" distR="19050">
            <wp:extent cx="266450" cy="219430"/>
            <wp:effectExtent b="0" l="0" r="0" t="0"/>
            <wp:docPr id="2"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266450" cy="219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milhões de estabelecimentos de agricultura familiar, cuja renda média mensal por família frequentemente situa-se abaixo de dois salários mínimos e a infraestrutura de telecomunicações é intermitente, o mercado privado apresenta uma falha estrutural clássica.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 custo de aquisição de clientes (CAC) desse segmento e as limitações de margem de lucro individual inviabilizam o interesse do capital privado de risco (</w:t>
      </w:r>
      <w:r w:rsidDel="00000000" w:rsidR="00000000" w:rsidRPr="00000000">
        <w:rPr>
          <w:rFonts w:ascii="Google Sans" w:cs="Google Sans" w:eastAsia="Google Sans" w:hAnsi="Google Sans"/>
          <w:i w:val="1"/>
          <w:iCs w:val="1"/>
          <w:color w:val="1f1f1f"/>
          <w:rtl w:val="0"/>
        </w:rPr>
        <w:t xml:space="preserve">venture capital</w:t>
      </w:r>
      <w:r w:rsidDel="00000000" w:rsidR="00000000" w:rsidRPr="00000000">
        <w:rPr>
          <w:rFonts w:ascii="Google Sans" w:cs="Google Sans" w:eastAsia="Google Sans" w:hAnsi="Google Sans"/>
          <w:color w:val="1f1f1f"/>
          <w:rtl w:val="0"/>
        </w:rPr>
        <w:t xml:space="preserve">), resultando na exclusão digital sistemática de quem mais necessita de tecnologia para o incremento de produtividade.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Essa falha justifica a intervenção do Estado mediante recursos não reembolsáveis do Fundo Nacional de Desenvolvimento Científico e Tecnológico (FNDCT), direcionando o investimento em pesquisa e desenvolvimento para a criação de bens públicos digitais voltados à inclusão socioprodutiva.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Essa exclusão tecnológica é agravada pelas características específicas do acesso à internet no meio rural brasileiro. De acordo com as rodadas recentes da pesquisa TIC Domicílios conduzida pelo Comitê Gestor da Internet no Brasil (CGI.br), embora tenha ocorrido uma expansão nominal do acesso domiciliar rural — saltando de </w:t>
      </w:r>
      <w:r w:rsidDel="00000000" w:rsidR="00000000" w:rsidRPr="00000000">
        <w:rPr>
          <w:rFonts w:ascii="Google Sans" w:cs="Google Sans" w:eastAsia="Google Sans" w:hAnsi="Google Sans"/>
          <w:color w:val="1f1f1f"/>
        </w:rPr>
        <w:drawing>
          <wp:inline distB="19050" distT="19050" distL="19050" distR="19050">
            <wp:extent cx="337984" cy="220083"/>
            <wp:effectExtent b="0" l="0" r="0" t="0"/>
            <wp:docPr id="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337984" cy="220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 </w:t>
      </w:r>
      <w:r w:rsidDel="00000000" w:rsidR="00000000" w:rsidRPr="00000000">
        <w:rPr>
          <w:rFonts w:ascii="Google Sans" w:cs="Google Sans" w:eastAsia="Google Sans" w:hAnsi="Google Sans"/>
          <w:color w:val="1f1f1f"/>
        </w:rPr>
        <w:drawing>
          <wp:inline distB="19050" distT="19050" distL="19050" distR="19050">
            <wp:extent cx="368710" cy="215081"/>
            <wp:effectExtent b="0" l="0" r="0" t="0"/>
            <wp:docPr id="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68710" cy="2150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color w:val="1f1f1f"/>
        </w:rPr>
        <w:drawing>
          <wp:inline distB="19050" distT="19050" distL="19050" distR="19050">
            <wp:extent cx="295736" cy="186781"/>
            <wp:effectExtent b="0" l="0" r="0" t="0"/>
            <wp:docPr id="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295736" cy="186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 </w:t>
      </w:r>
      <w:r w:rsidDel="00000000" w:rsidR="00000000" w:rsidRPr="00000000">
        <w:rPr>
          <w:rFonts w:ascii="Google Sans" w:cs="Google Sans" w:eastAsia="Google Sans" w:hAnsi="Google Sans"/>
          <w:color w:val="1f1f1f"/>
        </w:rPr>
        <w:drawing>
          <wp:inline distB="19050" distT="19050" distL="19050" distR="19050">
            <wp:extent cx="368710" cy="215081"/>
            <wp:effectExtent b="0" l="0" r="0" t="0"/>
            <wp:docPr id="6"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368710" cy="2150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a qualidade e o terminal de acesso são altamente restritos.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Indicador de Conectividade Rural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Proporção / Distribuição Percentual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Domicílios Rurais com Acesso à Internet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295736" cy="186781"/>
                  <wp:effectExtent b="0" l="0" r="0" t="0"/>
                  <wp:docPr id="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295736" cy="18678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Acesso Exclusivo por Dispositivos Móveis (Celular) na Área Rural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337984" cy="220083"/>
                  <wp:effectExtent b="0" l="0" r="0" t="0"/>
                  <wp:docPr id="8"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337984" cy="22008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Acesso por Computador e Celular na Área Rural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295736" cy="186781"/>
                  <wp:effectExtent b="0" l="0" r="0" t="0"/>
                  <wp:docPr id="9"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95736" cy="18678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Usuários de Celular sob Planos Pré-Pagos (Geral)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337984" cy="220083"/>
                  <wp:effectExtent b="0" l="0" r="0" t="0"/>
                  <wp:docPr id="10"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337984" cy="22008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Usuários de Celular sob Planos Pós-Pagos (Geral)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295736" cy="186781"/>
                  <wp:effectExtent b="0" l="0" r="0" t="0"/>
                  <wp:docPr id="18"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295736" cy="18678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fato de </w:t>
      </w:r>
      <w:r w:rsidDel="00000000" w:rsidR="00000000" w:rsidRPr="00000000">
        <w:rPr>
          <w:rFonts w:ascii="Google Sans" w:cs="Google Sans" w:eastAsia="Google Sans" w:hAnsi="Google Sans"/>
          <w:color w:val="1f1f1f"/>
        </w:rPr>
        <w:drawing>
          <wp:inline distB="19050" distT="19050" distL="19050" distR="19050">
            <wp:extent cx="337984" cy="220083"/>
            <wp:effectExtent b="0" l="0" r="0" t="0"/>
            <wp:docPr id="20"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337984" cy="220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dos usuários rurais acessarem a internet </w:t>
      </w:r>
      <w:r w:rsidDel="00000000" w:rsidR="00000000" w:rsidRPr="00000000">
        <w:rPr>
          <w:rFonts w:ascii="Google Sans" w:cs="Google Sans" w:eastAsia="Google Sans" w:hAnsi="Google Sans"/>
          <w:i w:val="1"/>
          <w:iCs w:val="1"/>
          <w:color w:val="1f1f1f"/>
          <w:rtl w:val="0"/>
        </w:rPr>
        <w:t xml:space="preserve">exclusivamente</w:t>
      </w:r>
      <w:r w:rsidDel="00000000" w:rsidR="00000000" w:rsidRPr="00000000">
        <w:rPr>
          <w:rFonts w:ascii="Google Sans" w:cs="Google Sans" w:eastAsia="Google Sans" w:hAnsi="Google Sans"/>
          <w:color w:val="1f1f1f"/>
          <w:rtl w:val="0"/>
        </w:rPr>
        <w:t xml:space="preserve"> pelo telefone celular implica que qualquer solução tecnológica voltada para esse público deve ser otimizada para dispositivos móveis de baixo custo e pacotes de dados limitados.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Além disso, a prevalência de planos pré-pagos (</w:t>
      </w:r>
      <w:r w:rsidDel="00000000" w:rsidR="00000000" w:rsidRPr="00000000">
        <w:rPr>
          <w:rFonts w:ascii="Google Sans" w:cs="Google Sans" w:eastAsia="Google Sans" w:hAnsi="Google Sans"/>
          <w:color w:val="1f1f1f"/>
        </w:rPr>
        <w:drawing>
          <wp:inline distB="19050" distT="19050" distL="19050" distR="19050">
            <wp:extent cx="337984" cy="220083"/>
            <wp:effectExtent b="0" l="0" r="0" t="0"/>
            <wp:docPr id="2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337984" cy="220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impõe restrições severas ao tráfego de dados pesados, limitando o uso de aplicativos convencionais que requerem download constante de dados de mapas ou sincronização contínua em nuvem.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O desenvolvimento de soluções integradas a canais de conversação leve e assíncrona, como o WhatsApp, constitui a única arquitetura viável de inclusão digital que respeita a realidade econômica do produtor rural familiar brasileiro.</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Armadilha da Inteligência Artificial Genérica e os Desafios Técnicos de Especialização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Diante do gargalo da assistência técnica, uma alternativa sugerida de forma simplista seria o direcionamento dos produtores rurais para plataformas de inteligência artificial genérica baseadas em modelos de linguagem de grande porte (LLMs), tais como as versões comerciais gratuitas do ChatGPT ou do Gemini.</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No entanto, essa abordagem apresenta riscos substanciais ao manejo agrícola e à segurança sanitária do campo.</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corpora utilizados no pré-treinamento desses grandes modelos de linguagem são majoritariamente constituídos por dados globais e textos em português formal oriundos de publicações institucionais de caráter genérico. Consequentemente, esses modelos carecem de representação ao nível de especificidade ecológica, microclimática e dialetal que rege a prática agrícola real no Brasil. Questões cruciais como a fenologia de variedades crioulas adaptadas ao Semiárido, os calendários agrícolas por microrregião do Cerrado, os prazos de carência de defensivos químicos por cultivo conforme as resoluções da ANVISA, os protocolos de manejo agroecológico para a Caatinga e a Amazônia, bem como a terminologia cooperativista regional do Nordeste, estão sistematicamente ausentes dessas bases globais.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resultado dessa lacuna de dados é a ocorrência de alucinações sistemáticas e direcionadas.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Ao ser questionado sobre o tratamento de uma praga ou o intervalo de segurança para a aplicação de um insumo, o modelo genérico tende a preencher o vácuo informacional extrapolando dados calibrados para contextos temperados da Europa ou dos Estados Unidos.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Uma recomendação errônea sobre o período de carência de um defensivo para o tomate, por exemplo, expõe o agricultor familiar ao risco iminente de autuação sanitária, perda de certificações orgânicas, rejeição do lote de alimentos nas chamadas de compras públicas do PAA e comprometimento da saúde dos consumidores.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Ademais, o processamento de dados agrícolas em servidores localizados fora do território nacional, sob custódia de corporações multinacionais de tecnologia, levanta sérias preocupações de conformidade com a Lei Geral de Proteção de Dados (LGPD) — Lei nº 13.709/2018 —, cuja observância é uma exigência legal explícita para o desenvolvimento de ciência e tecnologia com amparo público no Brasil.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superar a armadilha da IA genérica, o desenvolvimento de um ecossistema próprio de inteligência artificial aplicada à agricultura nacional fundamenta-se nas seguintes técnicas de processamento de linguagem natural:</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Parameter-Efficient Fine-Tuning (PEFT) via LoRA e QLoRA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especializar modelos de linguagem de pesos abertos (</w:t>
      </w:r>
      <w:r w:rsidDel="00000000" w:rsidR="00000000" w:rsidRPr="00000000">
        <w:rPr>
          <w:rFonts w:ascii="Google Sans" w:cs="Google Sans" w:eastAsia="Google Sans" w:hAnsi="Google Sans"/>
          <w:i w:val="1"/>
          <w:iCs w:val="1"/>
          <w:color w:val="1f1f1f"/>
          <w:rtl w:val="0"/>
        </w:rPr>
        <w:t xml:space="preserve">open-weight</w:t>
      </w:r>
      <w:r w:rsidDel="00000000" w:rsidR="00000000" w:rsidRPr="00000000">
        <w:rPr>
          <w:rFonts w:ascii="Google Sans" w:cs="Google Sans" w:eastAsia="Google Sans" w:hAnsi="Google Sans"/>
          <w:color w:val="1f1f1f"/>
          <w:rtl w:val="0"/>
        </w:rPr>
        <w:t xml:space="preserve">) — como as famílias LLaMA ou Qwen — sem incorrer nos custos computacionais proibitivos do treinamento de base, utiliza-se a técnica de Adaptação de Baixo Posto (LoRA).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Congelando-se os parâmetros originais do modelo e inserindo-se matrizes adaptativas adicionais nas camadas de atenção, é possível ajustar o modelo a um corpus especializado de diálogos agronômicos em português brasileiro com conjuntos de dados menores (inferiores a </w:t>
      </w:r>
      <w:r w:rsidDel="00000000" w:rsidR="00000000" w:rsidRPr="00000000">
        <w:rPr>
          <w:rFonts w:ascii="Google Sans" w:cs="Google Sans" w:eastAsia="Google Sans" w:hAnsi="Google Sans"/>
          <w:color w:val="1f1f1f"/>
        </w:rPr>
        <w:drawing>
          <wp:inline distB="19050" distT="19050" distL="19050" distR="19050">
            <wp:extent cx="512256" cy="217321"/>
            <wp:effectExtent b="0" l="0" r="0" t="0"/>
            <wp:docPr id="25"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12256" cy="217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exemplos) [Hu et al., 2022]. A aplicação complementar de QLoRA viabiliza a quantização dos pesos em </w:t>
      </w:r>
      <w:r w:rsidDel="00000000" w:rsidR="00000000" w:rsidRPr="00000000">
        <w:rPr>
          <w:rFonts w:ascii="Google Sans" w:cs="Google Sans" w:eastAsia="Google Sans" w:hAnsi="Google Sans"/>
          <w:color w:val="1f1f1f"/>
        </w:rPr>
        <w:drawing>
          <wp:inline distB="19050" distT="19050" distL="19050" distR="19050">
            <wp:extent cx="379151" cy="216658"/>
            <wp:effectExtent b="0" l="0" r="0" t="0"/>
            <wp:docPr id="28"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379151" cy="2166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reduzindo drasticamente a demanda por memória de vídeo (VRAM) e permitindo que a inferência do modelo seja executada em servidores nacionais de custo acessível.</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Retrieval-Augmented Generation (RAG) e Alinhamento a Modelos Nacionais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arquitetura RAG mitiga a ocorrência de alucinações ao acoplar o gerador de texto a uma base externa de conhecimento oficial e atualizada em tempo real.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Na fase de consulta, um indexador baseado em arquiteturas densas de embeddings em português brasileiro, como o BERTimbau (BERT-base) ou modelos baseados no PTT5 [Carmo et al., 2021], recupera os trechos pertinentes de manuais e recomendações da EMBRAPA e do MAPA, injetando-os como contexto seguro no prompt de geração.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Isso garante que a resposta gerada esteja ancorada em fontes institucionais validadas, auditáveis e atualizadas, eliminando o viés e as imprecisões das bases internacionais.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Paradoxo do Patrimônio Público de Conhecimento e a Analogia do PIX</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Brasil não sofre de escassez de conhecimento científico no campo da agronomia tropical. Décadas de investimentos públicos robustos direcionados à EMBRAPA, ao MAPA, a universidades federais e a empresas estaduais de pesquisa agropecuária consolidaram um dos acervos de dados e tecnologias de cultivo mais completos do mundo. O paradoxo reside no fato de que esse valioso patrimônio cognitivo, integralmente financiado pelo contribuinte, permanece inacessível na prática para o produtor familiar da ponta socioprodutiva.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 conhecimento encontra-se fragmentado e blindado por barreiras operacionais: portais digitais complexos de navegar, publicações distribuídas em formatos de arquivo de difícil leitura em terminais móveis (PDFs pesados) e textos redigidos em linguagem técnico-acadêmica de difícil interpretação por produtores de baixa escolaridade.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Adicionalmente, as iniciativas estaduais de digitalização herdam a fragmentação dos próprios órgãos de ATER, operando com formulários, bases de dados de solos, calendários agrícolas e indicadores de monitoramento mutuamente incompatíveis. Um agricultor familiar que migre sua produção de estado perde por completo o histórico técnico acumulado de sua propriedade.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projeto Roça Conectada propõe que a superação desse paradoxo ocorra mediante a adoção do modelo de Infraestrutura Pública Digital (DPI).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 fundamentação teórica e operacional dessa abordagem encontra respaldo na analogia com o lançamento do PIX pelo Banco Central do Brasil em </w:t>
      </w:r>
      <w:r w:rsidDel="00000000" w:rsidR="00000000" w:rsidRPr="00000000">
        <w:rPr>
          <w:rFonts w:ascii="Google Sans" w:cs="Google Sans" w:eastAsia="Google Sans" w:hAnsi="Google Sans"/>
          <w:color w:val="1f1f1f"/>
        </w:rPr>
        <w:drawing>
          <wp:inline distB="19050" distT="19050" distL="19050" distR="19050">
            <wp:extent cx="368710" cy="215081"/>
            <wp:effectExtent b="0" l="0" r="0" t="0"/>
            <wp:docPr id="30"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368710" cy="2150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país tornou-se uma referência global em sistemas de pagamentos instantâneos não por meio do fomento a fintechs isoladas que competissem de forma assimétrica com grandes bandeiras de cartão de crédito privadas, mas porque o Estado brasileiro tomou para si a responsabilidade de construir a infraestrutura básica, soberana, interoperável e aberta de liquidação. A partir dessa base pública compartilhada, bancos, cooperativas de crédito e startups passaram a competir na camada de serviços e aplicações, elevando o nível de eficiência de todo o mercado financeiro nacional.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projeto Roça Conectada estende essa exata filosofia para a inteligência artificial agrícola brasileira. Em vez de desenvolver um aplicativo fechado e isolado, o projeto propõe a construção de uma infraestrutura nacional comum, composta de camadas integradas que atuem como bens públicos de CT&amp;I para a agricultura familiar brasileira.</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Comparativo de Modelos Globais de Infraestrutura Digital Agrícola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estruturação do Roça Conectada alinha-se ao estado da arte do desenvolvimento de infraestruturas públicas digitais para o setor agropecuário em nível global, conforme observado em experiências consolidadas em outras jurisdições: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País / Bloco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Iniciativa Estruturante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Características Operacionais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Alinhamento com o Modelo Nacional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Índia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iKisan e AgriStack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Arquitetura federada baseada em registros públicos centralizados de agricultores, mapas de vilas georreferenciados e monitoramento automatizado de safras por sensoriamento remoto.</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Integração de dados cadastrais para direcionamento de crédito e recomendação técnica capilarizada.</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União Europeia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Projeto DEMETER (H2020)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Implantação em larga escala de pilotos interoperáveis de IoT e plataformas inteligentes com foco na integração multissetorial e no estabelecimento do modelo de dados AIM.</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Adoção de protocolos interoperáveis e abertos para evitar o aprisionamento tecnológico (</w:t>
            </w:r>
            <w:r w:rsidDel="00000000" w:rsidR="00000000" w:rsidRPr="00000000">
              <w:rPr>
                <w:rFonts w:ascii="Google Sans" w:cs="Google Sans" w:eastAsia="Google Sans" w:hAnsi="Google Sans"/>
                <w:i w:val="1"/>
                <w:iCs w:val="1"/>
                <w:color w:val="1f1f1f"/>
                <w:shd w:fill="auto" w:val="clear"/>
                <w:rtl w:val="0"/>
              </w:rPr>
              <w:t xml:space="preserve">vendor lock-in</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Estados Unidos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Dados Abertos do USDA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Disponibilização de bases massivas de solos, clima e fenologia de cultivares como infraestrutura pública para o desenvolvimento de soluções privadas de agritech.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Ativação do conhecimento represado na EMBRAPA e no MAPA sob licenças abertas e APIs públicas de fácil integração.</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Essa arquitetura integrada de dados soberanos apoia diretamente a implementação de novas diretrizes federais, incluindo os princípios da recém-formulada Política Nacional de Transformação Digital na Agricultura, que preconiza a mitigação de mudanças climáticas, a interoperabilidade de dados governamentais e o fomento a tecnologias sociais digitais no campo.</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Fortalecimento Cooperativo, Desburocratização e a Transversalidade de Gênero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cooperativas de produção representam um elo indispensável para a viabilização econômica da agricultura familiar, permitindo o ganho de escala na comercialização, o processamento de produtos agrícolas com maior valor agregado e o acesso estruturado aos canais de compras públicas governamentais, tais como o PAA e o PNAE.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Contudo, a inserção efetiva das cooperativas de pequeno e médio porte nesses mercados institucionais depara-se com uma barreira burocrática intransponível sob as atuais condições de gestão dessas entidades.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exigências documentais, fiscais e sanitárias impostas pela legislação cooperativista (Lei nº 5.764/71) e pelas regras de execução do PAA e do PNAE demandam um nível de conformidade contábil e de monitoramento operacional que a esmagadora maioria das cooperativas de base familiar não consegue manter por meios manuais ou planilhas analógicas.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resultado é a inabilitação sistemática de cooperativas aptas do ponto de vista produtivo, mas deficientes sob a perspectiva administrativa.</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Coopera Digital, módulo central da infraestrutura do Roça Conectada, atua diretamente sobre essa falha de governança. O sistema automatiza o fluxo de registros de produção, gera relatórios de rastreabilidade exigidos pela vigilância sanitária e simplifica a formulação de propostas para chamadas públicas governamentais, preenchendo automaticamente os formulários e integrando as declarações de aptidão dos cooperados de forma transparente.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Módulo Tecnológico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Função Principal no Ecossistema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Resultado Esperado da Chamada Pública (Item 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Corpus AgroLinguaBR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 de dados e anotações dialetais regionais sob licença Apache 2.0 com DOI público.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Criação de novos conhecimentos científicos e desenvolvimento tecnológico soberano.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AgroAssistente via WhatsApp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Extensão rural digital conversacional com arquitetura tolerante à intermitência de conectividade.</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Fomento à digitalização das cadeias socioprodutivas da agricultura familiar.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Coopera Digital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Sistema simplificado de automação burocrática e relatórios de conformidade para PAA/PNAE.</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Fortalecimento das cooperativas de produção familiar e inclusão de mercados institucionais.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 de Alucinação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Metodologia de teste adversarial e validação estatística de respostas agrícolas de IA.</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Desenvolvimento científico original e estabelecimento de parâmetros de segurança.</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Essa transformação tecnológica é desenhada sob o compromisso ético e metodológico da equidade de gênero. De acordo com o Censo Agropecuário do IBGE, as mulheres representam aproximadamente </w:t>
      </w:r>
      <w:r w:rsidDel="00000000" w:rsidR="00000000" w:rsidRPr="00000000">
        <w:rPr>
          <w:rFonts w:ascii="Google Sans" w:cs="Google Sans" w:eastAsia="Google Sans" w:hAnsi="Google Sans"/>
          <w:color w:val="1f1f1f"/>
        </w:rPr>
        <w:drawing>
          <wp:inline distB="19050" distT="19050" distL="19050" distR="19050">
            <wp:extent cx="337984" cy="220083"/>
            <wp:effectExtent b="0" l="0" r="0" t="0"/>
            <wp:docPr id="32"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337984" cy="220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 força de trabalho ativa na agricultura familiar.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Além de sua atuação direta nos ciclos produtivos e na conservação da biodiversidade no entorno dos domicílios, as mulheres exercem um papel de liderança na administração de cooperativas agroecológicas e na condução de dinâmicas de economia solidária no meio rural.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Dessa forma, o Roça Conectada incorpora a equidade de gênero como um princípio transversal e mensurável em todas as suas fases de desenvolvimento e validação, pautado pelas seguintes metas e diretrizes:</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Meta de Capacitação de Multiplicadores (OE8):</w:t>
      </w:r>
      <w:r w:rsidDel="00000000" w:rsidR="00000000" w:rsidRPr="00000000">
        <w:rPr>
          <w:rFonts w:ascii="Google Sans" w:cs="Google Sans" w:eastAsia="Google Sans" w:hAnsi="Google Sans"/>
          <w:color w:val="1f1f1f"/>
          <w:rtl w:val="0"/>
        </w:rPr>
        <w:t xml:space="preserve"> Garantia de participação de no mínimo </w:t>
      </w:r>
      <w:r w:rsidDel="00000000" w:rsidR="00000000" w:rsidRPr="00000000">
        <w:rPr>
          <w:rFonts w:ascii="Google Sans" w:cs="Google Sans" w:eastAsia="Google Sans" w:hAnsi="Google Sans"/>
          <w:color w:val="1f1f1f"/>
        </w:rPr>
        <w:drawing>
          <wp:inline distB="19050" distT="19050" distL="19050" distR="19050">
            <wp:extent cx="337984" cy="220083"/>
            <wp:effectExtent b="0" l="0" r="0" t="0"/>
            <wp:docPr id="3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337984" cy="220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mulheres rurais nos ciclos de treinamento técnico e pedagógico para o uso do AgroAssistente nos três municípios-piloto da região Nordeste, assegurando que o domínio tecnológico seja descentralizado nas famílias.</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Equipe de Anotação do Corpus AgroLinguaBR:</w:t>
      </w:r>
      <w:r w:rsidDel="00000000" w:rsidR="00000000" w:rsidRPr="00000000">
        <w:rPr>
          <w:rFonts w:ascii="Google Sans" w:cs="Google Sans" w:eastAsia="Google Sans" w:hAnsi="Google Sans"/>
          <w:color w:val="1f1f1f"/>
          <w:rtl w:val="0"/>
        </w:rPr>
        <w:t xml:space="preserve"> Participação mínima de </w:t>
      </w:r>
      <w:r w:rsidDel="00000000" w:rsidR="00000000" w:rsidRPr="00000000">
        <w:rPr>
          <w:rFonts w:ascii="Google Sans" w:cs="Google Sans" w:eastAsia="Google Sans" w:hAnsi="Google Sans"/>
          <w:color w:val="1f1f1f"/>
        </w:rPr>
        <w:drawing>
          <wp:inline distB="19050" distT="19050" distL="19050" distR="19050">
            <wp:extent cx="337984" cy="220083"/>
            <wp:effectExtent b="0" l="0" r="0" t="0"/>
            <wp:docPr id="36"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337984" cy="220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mulheres do campo (agricultoras, assentadas e extensionistas rurais) nos comitês de validação de dados e anotação linguística do corpus, garantindo que o vocabulário, as práticas agroecológicas tradicionais e as variedades de sementes crioulas conservadas por mulheres estejam devidamente representadas nos pesos de alinhamento dos modelos de inteligência artificial.</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Priorização Operacional das Cooperativas Piloto:</w:t>
      </w:r>
      <w:r w:rsidDel="00000000" w:rsidR="00000000" w:rsidRPr="00000000">
        <w:rPr>
          <w:rFonts w:ascii="Google Sans" w:cs="Google Sans" w:eastAsia="Google Sans" w:hAnsi="Google Sans"/>
          <w:color w:val="1f1f1f"/>
          <w:rtl w:val="0"/>
        </w:rPr>
        <w:t xml:space="preserve"> Direcionamento preferencial das primeiras rodadas de implantação do sistema Coopera Digital para cooperativas de agricultura familiar lideradas por mulheres ou compostas em sua maioria por cooperadas do gênero feminino, atuando na superação ativa das assimetrias históricas de inclusão financeira e acesso a mercados.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Métricas de Avaliação de Impacto Social:</w:t>
      </w:r>
      <w:r w:rsidDel="00000000" w:rsidR="00000000" w:rsidRPr="00000000">
        <w:rPr>
          <w:rFonts w:ascii="Google Sans" w:cs="Google Sans" w:eastAsia="Google Sans" w:hAnsi="Google Sans"/>
          <w:color w:val="1f1f1f"/>
          <w:rtl w:val="0"/>
        </w:rPr>
        <w:t xml:space="preserve"> Inclusão obrigatória de indicadores de uso, satisfação e incremento de renda desaggregados por gênero nos relatórios periódicos de monitoramento das ações digitais desenvolvidas, garantindo a rastreabilidade estatística do impacto do fomento público sobre as mulheres rurais.</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Parcerias Intersetoriais e Vantagens Estruturais da Abordagem Regionalizada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viabilização e a legitimidade de uma infraestrutura pública digital exigem um modelo de desenvolvimento alicerçado na articulação entre múltiplos atores da sociedade, em estrita sintonia com os resultados esperados da chamada pública. O consórcio do projeto Roça Conectada estrutura-se de forma a conectar a excelência de pesquisa científica de universidades federais com a capilaridade capilarizada das organizações sociais e a capacidade técnica de empresas estatais de tecnologia.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Nessa governança, a Universidade Federal de Santa Catarina (UFSC) atua como a instituição de ciência e tecnologia (ICT) líder do consórcio, coordenando o desenvolvimento computacional, a formulação matemática dos modelos e a validação do framework de alucinação técnica. A EMBRAPA e as empresas públicas estaduais de assistência técnica (como a EMATER-CE, EMATER-PB e a BAHIATER) fornecem as bases científicas curadas, os manuais técnicos e a interlocução direta com os técnicos de campo, atuando como validadores das respostas geradas pela IA.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cooperativas rurais locais operam como os laboratórios vivos de pesquisa-ação, conforme o referencial metodológico participativo de Thiollent.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Por fim, a parceria com empresas nacionais especializadas em tecnologia e infraestrutura de dados assegura a robustez da arquitetura de software e a conformidade técnica das APIs de distribuição.</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Essa articulação confere ao projeto uma vantagem competitiva marcante diante das diretrizes de descentralização regional estabelecidas na chamada pública. O edital prevê explicitamente a reserva de no mínimo </w:t>
      </w:r>
      <w:r w:rsidDel="00000000" w:rsidR="00000000" w:rsidRPr="00000000">
        <w:rPr>
          <w:rFonts w:ascii="Google Sans" w:cs="Google Sans" w:eastAsia="Google Sans" w:hAnsi="Google Sans"/>
          <w:color w:val="1f1f1f"/>
        </w:rPr>
        <w:drawing>
          <wp:inline distB="19050" distT="19050" distL="19050" distR="19050">
            <wp:extent cx="337984" cy="220083"/>
            <wp:effectExtent b="0" l="0" r="0" t="0"/>
            <wp:docPr id="38"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337984" cy="220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dos recursos orçamentários da Linha Temática para ICTs sediadas nas regiões Norte, Nordeste e Centro-Oeste. A seleção dos três municípios-piloto do Roça Conectada responde diretamente a esse critério de equidade espacial e vulnerabilidade socioeconômica:</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Crateús (Ceará):</w:t>
      </w:r>
      <w:r w:rsidDel="00000000" w:rsidR="00000000" w:rsidRPr="00000000">
        <w:rPr>
          <w:rFonts w:ascii="Google Sans" w:cs="Google Sans" w:eastAsia="Google Sans" w:hAnsi="Google Sans"/>
          <w:color w:val="1f1f1f"/>
          <w:rtl w:val="0"/>
        </w:rPr>
        <w:t xml:space="preserve"> Localizado no Sertão de Crateús, caracterizado por ecossistemas semiáridos vulneráveis, forte presença de assentamentos de reforma agrária e elevado déficit de cobertura de ATER presencial regular.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Sousa (Paraíba):</w:t>
      </w:r>
      <w:r w:rsidDel="00000000" w:rsidR="00000000" w:rsidRPr="00000000">
        <w:rPr>
          <w:rFonts w:ascii="Google Sans" w:cs="Google Sans" w:eastAsia="Google Sans" w:hAnsi="Google Sans"/>
          <w:color w:val="1f1f1f"/>
          <w:rtl w:val="0"/>
        </w:rPr>
        <w:t xml:space="preserve"> Inserido no Alto Sertão paraibano, com economia baseada na produção de culturas temporárias e na organização de cooperativas de laticínios e horticultura voltadas ao abastecimento institucional de mercados locais via PAA.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Vitória da Conquista (Bahia):</w:t>
      </w:r>
      <w:r w:rsidDel="00000000" w:rsidR="00000000" w:rsidRPr="00000000">
        <w:rPr>
          <w:rFonts w:ascii="Google Sans" w:cs="Google Sans" w:eastAsia="Google Sans" w:hAnsi="Google Sans"/>
          <w:color w:val="1f1f1f"/>
          <w:rtl w:val="0"/>
        </w:rPr>
        <w:t xml:space="preserve"> Situado no Planalto da Conquista, região de transição ecológica com expressivo contingente de produtores familiares dedicados à cafeicultura sombreada e à horticultura diversificada.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escolha do Nordeste como epicentro geográfico das ações experimentais do Roça Conectada não constitui mera conveniência operacional. Trata-se do recorte territorial onde a ausência histórica de infraestrutura de ATER causa mais danos ao potencial produtivo familiar e onde a implantação de uma infraestrutura digital pública e soberana apresenta o maior impacto redistributivo e reparador.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Diretrizes Estratégicas e Recomendações de Políticas Públicas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assegurar a sustentabilidade e a escalabilidade da infraestrutura digital proposta pelo projeto Roça Conectada, formulam-se as seguintes recomendações estratégicas voltadas aos gestores públicos e pesquisadores do setor:</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Governança Nacional e Unificação Tecnológica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Recomenda-se que o Ministério da Ciência, Tecnologia e Inovação (MCTI), em coordenação com o MAPA e a ANATER, institua um comitê permanente de governança de dados agrícolas nacionais, utilizando os preceitos de interoperabilidade do Decreto nº 12.198/2024 e da Infraestrutura Nacional de Dados (IND).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Essa estrutura regulatória deve assegurar que o corpus AgroLinguaBR e as tecnologias de apoio desenvolvidas sob o fomento público sejam adotados como padrões nacionais interoperáveis pelas EMATERs estaduais, evitando a duplicidade de gastos públicos e a fragmentação informacional em silos tecnológicos regionais.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Estímulo à Capacitação Digital Descentralizada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secretarias estaduais de agricultura e desenvolvimento rural devem estruturar programas de capacitação técnica continuada voltados especificamente à formação de extensionistas rurais e lideranças jovens das cooperativas familiares no uso pedagógico e na curadoria de ferramentas conversacionais de IA.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Essa formação deve ter como base a metodologia dialógica e participativa, garantindo que a tecnologia atue de forma complementar à extensão rural física, maximizando a produtividade dos agentes em vez de buscar sua substituição artificial.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Salvaguardas Regulatórias de Soberania Tecnológica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Toda a infraestrutura computacional de processamento, ajuste fino e armazenamento das consultas geradas pela agricultura familiar brasileira deve permanecer hospedada sob a infraestrutura pública soberana da Nuvem de Governo, operada por Serpro e Dataprev, em estrita obediência à LGPD.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Deve-se coibir, por meio de cláusulas restritivas em editais e contratos de fomento, a migração e o processamento de dados produtivos da agricultura familiar nacional em servidores estrangeiros privados de grandes corporações transnacionais, blindando o país contra riscos de vulnerabilidade cibernética e garantindo a soberania tecnológica da base produtora de alimentos do país.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 programas PAA e PNAE e seus efeitos sobre um grupo de mulheres do Assentamento Lagoa do Serrote - Universidade Federal do Ceará, accessed May 18, 2026, </w:t>
      </w:r>
      <w:hyperlink r:id="rId36">
        <w:r w:rsidDel="00000000" w:rsidR="00000000" w:rsidRPr="00000000">
          <w:rPr>
            <w:rFonts w:ascii="Google Sans" w:cs="Google Sans" w:eastAsia="Google Sans" w:hAnsi="Google Sans"/>
            <w:color w:val="0000ee"/>
            <w:sz w:val="24"/>
            <w:szCs w:val="24"/>
            <w:u w:val="single"/>
            <w:rtl w:val="0"/>
          </w:rPr>
          <w:t xml:space="preserve">https://repositorio.ufc.br/bitstream/riufc/35373/1/2018_art_lslsantana.pdf</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 benefícios e desafios do Programa de Aquisição de Alimentos (PAA) para os agricultores familiares - Retratos de Assentamentos, accessed May 18, 2026, </w:t>
      </w:r>
      <w:hyperlink r:id="rId37">
        <w:r w:rsidDel="00000000" w:rsidR="00000000" w:rsidRPr="00000000">
          <w:rPr>
            <w:rFonts w:ascii="Google Sans" w:cs="Google Sans" w:eastAsia="Google Sans" w:hAnsi="Google Sans"/>
            <w:color w:val="0000ee"/>
            <w:sz w:val="24"/>
            <w:szCs w:val="24"/>
            <w:u w:val="single"/>
            <w:rtl w:val="0"/>
          </w:rPr>
          <w:t xml:space="preserve">https://retratosdeassentamentos.com/index.php/retratos/article/download/498/418/1832</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ATER DIGITAL PARTICIPATIVA - Repositório Institucional do MAPA, accessed May 18, 2026, </w:t>
      </w:r>
      <w:hyperlink r:id="rId38">
        <w:r w:rsidDel="00000000" w:rsidR="00000000" w:rsidRPr="00000000">
          <w:rPr>
            <w:rFonts w:ascii="Google Sans" w:cs="Google Sans" w:eastAsia="Google Sans" w:hAnsi="Google Sans"/>
            <w:color w:val="0000ee"/>
            <w:sz w:val="24"/>
            <w:szCs w:val="24"/>
            <w:u w:val="single"/>
            <w:rtl w:val="0"/>
          </w:rPr>
          <w:t xml:space="preserve">https://repositorio-dspace.agricultura.gov.br/bitstream/1/346/1/ATER%20DIGITAL%20PARTICIPATIVA_EBOOK%20%281%29.pdf</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Censo mostra que 77% dos estabelecimentos foram classificados como de agricultura familiar - Confederação Nacional de Municípios, accessed May 18, 2026, </w:t>
      </w:r>
      <w:hyperlink r:id="rId39">
        <w:r w:rsidDel="00000000" w:rsidR="00000000" w:rsidRPr="00000000">
          <w:rPr>
            <w:rFonts w:ascii="Google Sans" w:cs="Google Sans" w:eastAsia="Google Sans" w:hAnsi="Google Sans"/>
            <w:color w:val="0000ee"/>
            <w:sz w:val="24"/>
            <w:szCs w:val="24"/>
            <w:u w:val="single"/>
            <w:rtl w:val="0"/>
          </w:rPr>
          <w:t xml:space="preserve">https://cnm.org.br/comunicacao/noticias/censo-mostra-que-77-dos-estabelecimentos-foram-classificados-como-de-agricultura-familiar</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importância da agricultura familiar no Brasil - Brasélio, accessed May 18, 2026, </w:t>
      </w:r>
      <w:hyperlink r:id="rId40">
        <w:r w:rsidDel="00000000" w:rsidR="00000000" w:rsidRPr="00000000">
          <w:rPr>
            <w:rFonts w:ascii="Google Sans" w:cs="Google Sans" w:eastAsia="Google Sans" w:hAnsi="Google Sans"/>
            <w:color w:val="0000ee"/>
            <w:sz w:val="24"/>
            <w:szCs w:val="24"/>
            <w:u w:val="single"/>
            <w:rtl w:val="0"/>
          </w:rPr>
          <w:t xml:space="preserve">https://www.braselio.com.br/es/blog/Noticias/a-importancia-da-agricultura-familiar-no-brasil</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Censo Agropecuário 2017, accessed May 18, 2026, </w:t>
      </w:r>
      <w:hyperlink r:id="rId41">
        <w:r w:rsidDel="00000000" w:rsidR="00000000" w:rsidRPr="00000000">
          <w:rPr>
            <w:rFonts w:ascii="Google Sans" w:cs="Google Sans" w:eastAsia="Google Sans" w:hAnsi="Google Sans"/>
            <w:color w:val="0000ee"/>
            <w:sz w:val="24"/>
            <w:szCs w:val="24"/>
            <w:u w:val="single"/>
            <w:rtl w:val="0"/>
          </w:rPr>
          <w:t xml:space="preserve">https://agenciadenoticias.ibge.gov.br/media/com_mediaibge/arquivos/d37d30efd337a9b66852d60148695df1.pdf</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País, agricultura familiar representa 77% dos produtores e ..., accessed May 18, 2026, </w:t>
      </w:r>
      <w:hyperlink r:id="rId42">
        <w:r w:rsidDel="00000000" w:rsidR="00000000" w:rsidRPr="00000000">
          <w:rPr>
            <w:rFonts w:ascii="Google Sans" w:cs="Google Sans" w:eastAsia="Google Sans" w:hAnsi="Google Sans"/>
            <w:color w:val="0000ee"/>
            <w:sz w:val="24"/>
            <w:szCs w:val="24"/>
            <w:u w:val="single"/>
            <w:rtl w:val="0"/>
          </w:rPr>
          <w:t xml:space="preserve">https://jornal.usp.br/atualidades/no-pais-agricultura-familiar-representa-77-dos-produtores-e-apenas-23-da-renda-agricola/</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Ater Digital vai impulsionar acesso do produtor rural à assistência técnica - Portal Gov.br, accessed May 18, 2026, </w:t>
      </w:r>
      <w:hyperlink r:id="rId43">
        <w:r w:rsidDel="00000000" w:rsidR="00000000" w:rsidRPr="00000000">
          <w:rPr>
            <w:rFonts w:ascii="Google Sans" w:cs="Google Sans" w:eastAsia="Google Sans" w:hAnsi="Google Sans"/>
            <w:color w:val="0000ee"/>
            <w:sz w:val="24"/>
            <w:szCs w:val="24"/>
            <w:u w:val="single"/>
            <w:rtl w:val="0"/>
          </w:rPr>
          <w:t xml:space="preserve">https://www.gov.br/agricultura/pt-br/assuntos/noticias/2022/ater-digital-vai-impulsionar-acesso-do-produtor-rural-a-assistencia-tecnica</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Mensagem - Presidencial - Projeto de Lei Orçamentária Anual 2025 - Senado Federal, accessed May 18, 2026, </w:t>
      </w:r>
      <w:hyperlink r:id="rId44">
        <w:r w:rsidDel="00000000" w:rsidR="00000000" w:rsidRPr="00000000">
          <w:rPr>
            <w:rFonts w:ascii="Google Sans" w:cs="Google Sans" w:eastAsia="Google Sans" w:hAnsi="Google Sans"/>
            <w:color w:val="0000ee"/>
            <w:sz w:val="24"/>
            <w:szCs w:val="24"/>
            <w:u w:val="single"/>
            <w:rtl w:val="0"/>
          </w:rPr>
          <w:t xml:space="preserve">https://legis.senado.leg.br/sdleg-getter/documento?dm=9799788&amp;ts=1741635309343&amp;disposition=inline</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Não foi possível gerar uma visão geral para este documento. - Pesquisa textual | Tribunal de Contas da União - TCU, accessed May 18, 2026, </w:t>
      </w:r>
      <w:hyperlink r:id="rId45">
        <w:r w:rsidDel="00000000" w:rsidR="00000000" w:rsidRPr="00000000">
          <w:rPr>
            <w:rFonts w:ascii="Google Sans" w:cs="Google Sans" w:eastAsia="Google Sans" w:hAnsi="Google Sans"/>
            <w:color w:val="0000ee"/>
            <w:sz w:val="24"/>
            <w:szCs w:val="24"/>
            <w:u w:val="single"/>
            <w:rtl w:val="0"/>
          </w:rPr>
          <w:t xml:space="preserve">https://pesquisa.apps.tcu.gov.br/#/doc/ata-sessao/22/2023/p/publica</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Políticas públicas - Metodologias de Ater Digital - Ater+ Digital, accessed May 18, 2026, </w:t>
      </w:r>
      <w:hyperlink r:id="rId46">
        <w:r w:rsidDel="00000000" w:rsidR="00000000" w:rsidRPr="00000000">
          <w:rPr>
            <w:rFonts w:ascii="Google Sans" w:cs="Google Sans" w:eastAsia="Google Sans" w:hAnsi="Google Sans"/>
            <w:color w:val="0000ee"/>
            <w:sz w:val="24"/>
            <w:szCs w:val="24"/>
            <w:u w:val="single"/>
            <w:rtl w:val="0"/>
          </w:rPr>
          <w:t xml:space="preserve">https://www.atermaisdigital.cnptia.embrapa.br/web/metodologias/politicas-publicas</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Demeter - EMPOWERING FARMERS, accessed May 18, 2026, </w:t>
      </w:r>
      <w:hyperlink r:id="rId47">
        <w:r w:rsidDel="00000000" w:rsidR="00000000" w:rsidRPr="00000000">
          <w:rPr>
            <w:rFonts w:ascii="Google Sans" w:cs="Google Sans" w:eastAsia="Google Sans" w:hAnsi="Google Sans"/>
            <w:color w:val="0000ee"/>
            <w:sz w:val="24"/>
            <w:szCs w:val="24"/>
            <w:u w:val="single"/>
            <w:rtl w:val="0"/>
          </w:rPr>
          <w:t xml:space="preserve">https://h2020-demeter.eu/</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Área rural registra aumento de acesso à Internet, aponta TIC Domicílios 2021 - Mobile Time, accessed May 18, 2026, </w:t>
      </w:r>
      <w:hyperlink r:id="rId48">
        <w:r w:rsidDel="00000000" w:rsidR="00000000" w:rsidRPr="00000000">
          <w:rPr>
            <w:rFonts w:ascii="Google Sans" w:cs="Google Sans" w:eastAsia="Google Sans" w:hAnsi="Google Sans"/>
            <w:color w:val="0000ee"/>
            <w:sz w:val="24"/>
            <w:szCs w:val="24"/>
            <w:u w:val="single"/>
            <w:rtl w:val="0"/>
          </w:rPr>
          <w:t xml:space="preserve">https://www.mobiletime.com.br/noticias/21/06/2022/area-rural-registra-aumento-de-acesso-a-internet-aponta-tic-domicilios-2021/</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29 milhões de brasileiros não acessam a Internet, aponta a pesquisa TIC Domicílios, accessed May 18, 2026, </w:t>
      </w:r>
      <w:hyperlink r:id="rId49">
        <w:r w:rsidDel="00000000" w:rsidR="00000000" w:rsidRPr="00000000">
          <w:rPr>
            <w:rFonts w:ascii="Google Sans" w:cs="Google Sans" w:eastAsia="Google Sans" w:hAnsi="Google Sans"/>
            <w:color w:val="0000ee"/>
            <w:sz w:val="24"/>
            <w:szCs w:val="24"/>
            <w:u w:val="single"/>
            <w:rtl w:val="0"/>
          </w:rPr>
          <w:t xml:space="preserve">https://www.nic.br/noticia/na-midia/29-milhoes-de-brasileiros-nao-acessam-a-internet-aponta-a-pesquisa-tic-domicilios/</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TIC Domicílios: cai número de brasileiros que não usam a Internet - Mobile Time, accessed May 18, 2026, </w:t>
      </w:r>
      <w:hyperlink r:id="rId50">
        <w:r w:rsidDel="00000000" w:rsidR="00000000" w:rsidRPr="00000000">
          <w:rPr>
            <w:rFonts w:ascii="Google Sans" w:cs="Google Sans" w:eastAsia="Google Sans" w:hAnsi="Google Sans"/>
            <w:color w:val="0000ee"/>
            <w:sz w:val="24"/>
            <w:szCs w:val="24"/>
            <w:u w:val="single"/>
            <w:rtl w:val="0"/>
          </w:rPr>
          <w:t xml:space="preserve">https://www.mobiletime.com.br/noticias/16/11/2023/tic-domicilios-cai-numero-de-brasileiros-que-nao-usam-a-internet/</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Comparison of Large Language Models on Brazil's Medical Revalidation Exam for Foreign-Trained Graduates - MDPI, accessed May 18, 2026, </w:t>
      </w:r>
      <w:hyperlink r:id="rId51">
        <w:r w:rsidDel="00000000" w:rsidR="00000000" w:rsidRPr="00000000">
          <w:rPr>
            <w:rFonts w:ascii="Google Sans" w:cs="Google Sans" w:eastAsia="Google Sans" w:hAnsi="Google Sans"/>
            <w:color w:val="0000ee"/>
            <w:sz w:val="24"/>
            <w:szCs w:val="24"/>
            <w:u w:val="single"/>
            <w:rtl w:val="0"/>
          </w:rPr>
          <w:t xml:space="preserve">https://www.mdpi.com/2076-3417/15/13/7134</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Phare: A Safety Probe for Large Language Models - arXiv, accessed May 18, 2026, </w:t>
      </w:r>
      <w:hyperlink r:id="rId52">
        <w:r w:rsidDel="00000000" w:rsidR="00000000" w:rsidRPr="00000000">
          <w:rPr>
            <w:rFonts w:ascii="Google Sans" w:cs="Google Sans" w:eastAsia="Google Sans" w:hAnsi="Google Sans"/>
            <w:color w:val="0000ee"/>
            <w:sz w:val="24"/>
            <w:szCs w:val="24"/>
            <w:u w:val="single"/>
            <w:rtl w:val="0"/>
          </w:rPr>
          <w:t xml:space="preserve">https://arxiv.org/html/2505.11365v1</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Auditing the Evaluators: How Far Can Automatic Evaluation Go in Assessing Portuguese Financial Texts? - ACL Anthology, accessed May 18, 2026, </w:t>
      </w:r>
      <w:hyperlink r:id="rId53">
        <w:r w:rsidDel="00000000" w:rsidR="00000000" w:rsidRPr="00000000">
          <w:rPr>
            <w:rFonts w:ascii="Google Sans" w:cs="Google Sans" w:eastAsia="Google Sans" w:hAnsi="Google Sans"/>
            <w:color w:val="0000ee"/>
            <w:sz w:val="24"/>
            <w:szCs w:val="24"/>
            <w:u w:val="single"/>
            <w:rtl w:val="0"/>
          </w:rPr>
          <w:t xml:space="preserve">https://aclanthology.org/2026.propor-1.22.pdf</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Soberania digital: governo federal acelera agenda para data centers e IA, accessed May 18, 2026, </w:t>
      </w:r>
      <w:hyperlink r:id="rId54">
        <w:r w:rsidDel="00000000" w:rsidR="00000000" w:rsidRPr="00000000">
          <w:rPr>
            <w:rFonts w:ascii="Google Sans" w:cs="Google Sans" w:eastAsia="Google Sans" w:hAnsi="Google Sans"/>
            <w:color w:val="0000ee"/>
            <w:sz w:val="24"/>
            <w:szCs w:val="24"/>
            <w:u w:val="single"/>
            <w:rtl w:val="0"/>
          </w:rPr>
          <w:t xml:space="preserve">https://proximonivel.claro.com.br/soberania-digital-governo-federal-acelera-agenda-para-data-centers-e-ia/</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 Soberania Digital: Brasil consolida a Nuvem de Governo como passo para a independência e a proteção de dados - Portal Gov.br, accessed May 18, 2026, </w:t>
      </w:r>
      <w:hyperlink r:id="rId55">
        <w:r w:rsidDel="00000000" w:rsidR="00000000" w:rsidRPr="00000000">
          <w:rPr>
            <w:rFonts w:ascii="Google Sans" w:cs="Google Sans" w:eastAsia="Google Sans" w:hAnsi="Google Sans"/>
            <w:color w:val="0000ee"/>
            <w:sz w:val="24"/>
            <w:szCs w:val="24"/>
            <w:u w:val="single"/>
            <w:rtl w:val="0"/>
          </w:rPr>
          <w:t xml:space="preserve">https://www.gov.br/governodigital/pt-br/noticias/na-soberania-digital-brasil-consolida-a-nuvem-de-governo-como-passo-para-a-independencia-e-a-protecao-de-dados</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LLMs: Fine-Tuning vs. Retrieval-Augmented Generation - PMC, accessed May 18, 2026,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https://pmc.ncbi.nlm.nih.gov/articles/PMC12292519/</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Adapting LLMs to New Domains: A Comparative Study of Fine-Tuning and RAG strategies for Portuguese QA Tasks - ACL Anthology, accessed May 18, 2026, </w:t>
      </w:r>
      <w:hyperlink r:id="rId57">
        <w:r w:rsidDel="00000000" w:rsidR="00000000" w:rsidRPr="00000000">
          <w:rPr>
            <w:rFonts w:ascii="Google Sans" w:cs="Google Sans" w:eastAsia="Google Sans" w:hAnsi="Google Sans"/>
            <w:color w:val="0000ee"/>
            <w:sz w:val="24"/>
            <w:szCs w:val="24"/>
            <w:u w:val="single"/>
            <w:rtl w:val="0"/>
          </w:rPr>
          <w:t xml:space="preserve">https://aclanthology.org/2024.stil-1.22.pdf</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Public Infrastructure (DPI) and Agricultural Development In India- A Road To Self-Reliance For Farmers - Informatics Journals, accessed May 18, 2026, </w:t>
      </w:r>
      <w:hyperlink r:id="rId58">
        <w:r w:rsidDel="00000000" w:rsidR="00000000" w:rsidRPr="00000000">
          <w:rPr>
            <w:rFonts w:ascii="Google Sans" w:cs="Google Sans" w:eastAsia="Google Sans" w:hAnsi="Google Sans"/>
            <w:color w:val="0000ee"/>
            <w:sz w:val="24"/>
            <w:szCs w:val="24"/>
            <w:u w:val="single"/>
            <w:rtl w:val="0"/>
          </w:rPr>
          <w:t xml:space="preserve">https://www.informaticsjournals.co.in/index.php/jcls/article/download/48939/33806/113915</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Agriculture Mission Overview - Home | Department of ..., accessed May 18, 2026, </w:t>
      </w:r>
      <w:hyperlink r:id="rId59">
        <w:r w:rsidDel="00000000" w:rsidR="00000000" w:rsidRPr="00000000">
          <w:rPr>
            <w:rFonts w:ascii="Google Sans" w:cs="Google Sans" w:eastAsia="Google Sans" w:hAnsi="Google Sans"/>
            <w:color w:val="0000ee"/>
            <w:sz w:val="24"/>
            <w:szCs w:val="24"/>
            <w:u w:val="single"/>
            <w:rtl w:val="0"/>
          </w:rPr>
          <w:t xml:space="preserve">https://agriwelfare.gov.in/en/DigiAgriDiv</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Digitalising agriculture - large-scale pilots | Shaping Europe's digital ..., accessed May 18, 2026, </w:t>
      </w:r>
      <w:hyperlink r:id="rId60">
        <w:r w:rsidDel="00000000" w:rsidR="00000000" w:rsidRPr="00000000">
          <w:rPr>
            <w:rFonts w:ascii="Google Sans" w:cs="Google Sans" w:eastAsia="Google Sans" w:hAnsi="Google Sans"/>
            <w:color w:val="0000ee"/>
            <w:sz w:val="24"/>
            <w:szCs w:val="24"/>
            <w:u w:val="single"/>
            <w:rtl w:val="0"/>
          </w:rPr>
          <w:t xml:space="preserve">https://digital-strategy.ec.europa.eu/en/policies/digitalising-agriculture-large-scale-pilots</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Avança criação da Política Nacional de Transformação Digital na Agricultura, accessed May 18, 2026, </w:t>
      </w:r>
      <w:hyperlink r:id="rId61">
        <w:r w:rsidDel="00000000" w:rsidR="00000000" w:rsidRPr="00000000">
          <w:rPr>
            <w:rFonts w:ascii="Google Sans" w:cs="Google Sans" w:eastAsia="Google Sans" w:hAnsi="Google Sans"/>
            <w:color w:val="0000ee"/>
            <w:sz w:val="24"/>
            <w:szCs w:val="24"/>
            <w:u w:val="single"/>
            <w:rtl w:val="0"/>
          </w:rPr>
          <w:t xml:space="preserve">https://www12.senado.leg.br/noticias/materias/2025/12/02/avanca-criacao-da-politica-nacional-de-transformacao-digital-na-agricultura</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BARREIRAS DE DESEMPENHO E POLÍTICAS PÚBLICAS: ANÁLISE EM COOPERATIVAS DE AGRICULTURA FAMILIAR, accessed May 18, 2026, </w:t>
      </w:r>
      <w:hyperlink r:id="rId62">
        <w:r w:rsidDel="00000000" w:rsidR="00000000" w:rsidRPr="00000000">
          <w:rPr>
            <w:rFonts w:ascii="Google Sans" w:cs="Google Sans" w:eastAsia="Google Sans" w:hAnsi="Google Sans"/>
            <w:color w:val="0000ee"/>
            <w:sz w:val="24"/>
            <w:szCs w:val="24"/>
            <w:u w:val="single"/>
            <w:rtl w:val="0"/>
          </w:rPr>
          <w:t xml:space="preserve">https://periodicos.fgv.br/cgpc/article/download/73030/75305</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Contribuições do Programa Nacional de Alimentação Escolar (PNAE) e do Programa de Aquisição de Alimentos (PAA) para o - Research, Society and Development, accessed May 18, 2026, </w:t>
      </w:r>
      <w:hyperlink r:id="rId63">
        <w:r w:rsidDel="00000000" w:rsidR="00000000" w:rsidRPr="00000000">
          <w:rPr>
            <w:rFonts w:ascii="Google Sans" w:cs="Google Sans" w:eastAsia="Google Sans" w:hAnsi="Google Sans"/>
            <w:color w:val="0000ee"/>
            <w:sz w:val="24"/>
            <w:szCs w:val="24"/>
            <w:u w:val="single"/>
            <w:rtl w:val="0"/>
          </w:rPr>
          <w:t xml:space="preserve">https://rsdjournal.org/rsd/article/download/49231/38546/503428</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Barreiras de desempenho e políticas públicas: análise em ..., accessed May 18, 2026, </w:t>
      </w:r>
      <w:hyperlink r:id="rId64">
        <w:r w:rsidDel="00000000" w:rsidR="00000000" w:rsidRPr="00000000">
          <w:rPr>
            <w:rFonts w:ascii="Google Sans" w:cs="Google Sans" w:eastAsia="Google Sans" w:hAnsi="Google Sans"/>
            <w:color w:val="0000ee"/>
            <w:sz w:val="24"/>
            <w:szCs w:val="24"/>
            <w:u w:val="single"/>
            <w:rtl w:val="0"/>
          </w:rPr>
          <w:t xml:space="preserve">https://periodicos.fgv.br/cgpc/article/view/73030</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D12198 - Planalto, accessed May 18, 2026, </w:t>
      </w:r>
      <w:hyperlink r:id="rId65">
        <w:r w:rsidDel="00000000" w:rsidR="00000000" w:rsidRPr="00000000">
          <w:rPr>
            <w:rFonts w:ascii="Google Sans" w:cs="Google Sans" w:eastAsia="Google Sans" w:hAnsi="Google Sans"/>
            <w:color w:val="0000ee"/>
            <w:sz w:val="24"/>
            <w:szCs w:val="24"/>
            <w:u w:val="single"/>
            <w:rtl w:val="0"/>
          </w:rPr>
          <w:t xml:space="preserve">http://www.planalto.gov.br/ccivil_03/_ato2023-2026/2024/decreto/d12198.htm</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Governo publica decreto com estratégia federal para ampliação do governo digital até 2027, accessed May 18, 2026, </w:t>
      </w:r>
      <w:hyperlink r:id="rId66">
        <w:r w:rsidDel="00000000" w:rsidR="00000000" w:rsidRPr="00000000">
          <w:rPr>
            <w:rFonts w:ascii="Google Sans" w:cs="Google Sans" w:eastAsia="Google Sans" w:hAnsi="Google Sans"/>
            <w:color w:val="0000ee"/>
            <w:sz w:val="24"/>
            <w:szCs w:val="24"/>
            <w:u w:val="single"/>
            <w:rtl w:val="0"/>
          </w:rPr>
          <w:t xml:space="preserve">https://www.gov.br/gestao/pt-br/assuntos/noticias/2024/setembro/governo-publica-decreto-com-estrategia-federal-para-ampliacao-do-governo-digital-ate-2027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raselio.com.br/es/blog/Noticias/a-importancia-da-agricultura-familiar-no-brasil" TargetMode="External"/><Relationship Id="rId42" Type="http://schemas.openxmlformats.org/officeDocument/2006/relationships/hyperlink" Target="https://jornal.usp.br/atualidades/no-pais-agricultura-familiar-representa-77-dos-produtores-e-apenas-23-da-renda-agricola/" TargetMode="External"/><Relationship Id="rId41" Type="http://schemas.openxmlformats.org/officeDocument/2006/relationships/hyperlink" Target="https://agenciadenoticias.ibge.gov.br/media/com_mediaibge/arquivos/d37d30efd337a9b66852d60148695df1.pdf" TargetMode="External"/><Relationship Id="rId44" Type="http://schemas.openxmlformats.org/officeDocument/2006/relationships/hyperlink" Target="https://legis.senado.leg.br/sdleg-getter/documento?dm=9799788&amp;ts=1741635309343&amp;disposition=inline" TargetMode="External"/><Relationship Id="rId43" Type="http://schemas.openxmlformats.org/officeDocument/2006/relationships/hyperlink" Target="https://www.gov.br/agricultura/pt-br/assuntos/noticias/2022/ater-digital-vai-impulsionar-acesso-do-produtor-rural-a-assistencia-tecnica" TargetMode="External"/><Relationship Id="rId46" Type="http://schemas.openxmlformats.org/officeDocument/2006/relationships/hyperlink" Target="https://www.atermaisdigital.cnptia.embrapa.br/web/metodologias/politicas-publicas" TargetMode="External"/><Relationship Id="rId45" Type="http://schemas.openxmlformats.org/officeDocument/2006/relationships/hyperlink" Target="https://pesquisa.apps.tcu.gov.br/#/doc/ata-sessao/22/2023/p/publi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yperlink" Target="https://www.mobiletime.com.br/noticias/21/06/2022/area-rural-registra-aumento-de-acesso-a-internet-aponta-tic-domicilios-2021/" TargetMode="External"/><Relationship Id="rId47" Type="http://schemas.openxmlformats.org/officeDocument/2006/relationships/hyperlink" Target="https://h2020-demeter.eu/" TargetMode="External"/><Relationship Id="rId49" Type="http://schemas.openxmlformats.org/officeDocument/2006/relationships/hyperlink" Target="https://www.nic.br/noticia/na-midia/29-milhoes-de-brasileiros-nao-acessam-a-internet-aponta-a-pesquisa-tic-domicilios/"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png"/><Relationship Id="rId31" Type="http://schemas.openxmlformats.org/officeDocument/2006/relationships/image" Target="media/image30.png"/><Relationship Id="rId30" Type="http://schemas.openxmlformats.org/officeDocument/2006/relationships/image" Target="media/image7.png"/><Relationship Id="rId33" Type="http://schemas.openxmlformats.org/officeDocument/2006/relationships/image" Target="media/image15.png"/><Relationship Id="rId32" Type="http://schemas.openxmlformats.org/officeDocument/2006/relationships/image" Target="media/image27.png"/><Relationship Id="rId35" Type="http://schemas.openxmlformats.org/officeDocument/2006/relationships/image" Target="media/image23.png"/><Relationship Id="rId34" Type="http://schemas.openxmlformats.org/officeDocument/2006/relationships/image" Target="media/image16.png"/><Relationship Id="rId37" Type="http://schemas.openxmlformats.org/officeDocument/2006/relationships/hyperlink" Target="https://retratosdeassentamentos.com/index.php/retratos/article/download/498/418/1832" TargetMode="External"/><Relationship Id="rId36" Type="http://schemas.openxmlformats.org/officeDocument/2006/relationships/hyperlink" Target="https://repositorio.ufc.br/bitstream/riufc/35373/1/2018_art_lslsantana.pdf" TargetMode="External"/><Relationship Id="rId39" Type="http://schemas.openxmlformats.org/officeDocument/2006/relationships/hyperlink" Target="https://cnm.org.br/comunicacao/noticias/censo-mostra-que-77-dos-estabelecimentos-foram-classificados-como-de-agricultura-familiar" TargetMode="External"/><Relationship Id="rId38" Type="http://schemas.openxmlformats.org/officeDocument/2006/relationships/hyperlink" Target="https://repositorio-dspace.agricultura.gov.br/bitstream/1/346/1/ATER%20DIGITAL%20PARTICIPATIVA_EBOOK%20%281%29.pdf" TargetMode="External"/><Relationship Id="rId62" Type="http://schemas.openxmlformats.org/officeDocument/2006/relationships/hyperlink" Target="https://periodicos.fgv.br/cgpc/article/download/73030/75305" TargetMode="External"/><Relationship Id="rId61" Type="http://schemas.openxmlformats.org/officeDocument/2006/relationships/hyperlink" Target="https://www12.senado.leg.br/noticias/materias/2025/12/02/avanca-criacao-da-politica-nacional-de-transformacao-digital-na-agricultura" TargetMode="External"/><Relationship Id="rId20" Type="http://schemas.openxmlformats.org/officeDocument/2006/relationships/image" Target="media/image28.png"/><Relationship Id="rId64" Type="http://schemas.openxmlformats.org/officeDocument/2006/relationships/hyperlink" Target="https://periodicos.fgv.br/cgpc/article/view/73030" TargetMode="External"/><Relationship Id="rId63" Type="http://schemas.openxmlformats.org/officeDocument/2006/relationships/hyperlink" Target="https://rsdjournal.org/rsd/article/download/49231/38546/503428" TargetMode="External"/><Relationship Id="rId22" Type="http://schemas.openxmlformats.org/officeDocument/2006/relationships/image" Target="media/image19.png"/><Relationship Id="rId66" Type="http://schemas.openxmlformats.org/officeDocument/2006/relationships/hyperlink" Target="https://www.gov.br/gestao/pt-br/assuntos/noticias/2024/setembro/governo-publica-decreto-com-estrategia-federal-para-ampliacao-do-governo-digital-ate-2027" TargetMode="External"/><Relationship Id="rId21" Type="http://schemas.openxmlformats.org/officeDocument/2006/relationships/image" Target="media/image9.png"/><Relationship Id="rId65" Type="http://schemas.openxmlformats.org/officeDocument/2006/relationships/hyperlink" Target="http://www.planalto.gov.br/ccivil_03/_ato2023-2026/2024/decreto/d12198.htm" TargetMode="External"/><Relationship Id="rId24" Type="http://schemas.openxmlformats.org/officeDocument/2006/relationships/image" Target="media/image2.png"/><Relationship Id="rId23" Type="http://schemas.openxmlformats.org/officeDocument/2006/relationships/image" Target="media/image20.png"/><Relationship Id="rId60" Type="http://schemas.openxmlformats.org/officeDocument/2006/relationships/hyperlink" Target="https://digital-strategy.ec.europa.eu/en/policies/digitalising-agriculture-large-scale-pilots" TargetMode="External"/><Relationship Id="rId26" Type="http://schemas.openxmlformats.org/officeDocument/2006/relationships/image" Target="media/image17.png"/><Relationship Id="rId25" Type="http://schemas.openxmlformats.org/officeDocument/2006/relationships/image" Target="media/image8.png"/><Relationship Id="rId28" Type="http://schemas.openxmlformats.org/officeDocument/2006/relationships/image" Target="media/image4.png"/><Relationship Id="rId27" Type="http://schemas.openxmlformats.org/officeDocument/2006/relationships/image" Target="media/image29.png"/><Relationship Id="rId29" Type="http://schemas.openxmlformats.org/officeDocument/2006/relationships/image" Target="media/image13.png"/><Relationship Id="rId51" Type="http://schemas.openxmlformats.org/officeDocument/2006/relationships/hyperlink" Target="https://www.mdpi.com/2076-3417/15/13/7134" TargetMode="External"/><Relationship Id="rId50" Type="http://schemas.openxmlformats.org/officeDocument/2006/relationships/hyperlink" Target="https://www.mobiletime.com.br/noticias/16/11/2023/tic-domicilios-cai-numero-de-brasileiros-que-nao-usam-a-internet/" TargetMode="External"/><Relationship Id="rId53" Type="http://schemas.openxmlformats.org/officeDocument/2006/relationships/hyperlink" Target="https://aclanthology.org/2026.propor-1.22.pdf" TargetMode="External"/><Relationship Id="rId52" Type="http://schemas.openxmlformats.org/officeDocument/2006/relationships/hyperlink" Target="https://arxiv.org/html/2505.11365v1" TargetMode="External"/><Relationship Id="rId11" Type="http://schemas.openxmlformats.org/officeDocument/2006/relationships/image" Target="media/image18.png"/><Relationship Id="rId55" Type="http://schemas.openxmlformats.org/officeDocument/2006/relationships/hyperlink" Target="https://www.gov.br/governodigital/pt-br/noticias/na-soberania-digital-brasil-consolida-a-nuvem-de-governo-como-passo-para-a-independencia-e-a-protecao-de-dados" TargetMode="External"/><Relationship Id="rId10" Type="http://schemas.openxmlformats.org/officeDocument/2006/relationships/image" Target="media/image10.png"/><Relationship Id="rId54" Type="http://schemas.openxmlformats.org/officeDocument/2006/relationships/hyperlink" Target="https://proximonivel.claro.com.br/soberania-digital-governo-federal-acelera-agenda-para-data-centers-e-ia/" TargetMode="External"/><Relationship Id="rId13" Type="http://schemas.openxmlformats.org/officeDocument/2006/relationships/image" Target="media/image3.png"/><Relationship Id="rId57" Type="http://schemas.openxmlformats.org/officeDocument/2006/relationships/hyperlink" Target="https://aclanthology.org/2024.stil-1.22.pdf" TargetMode="External"/><Relationship Id="rId12" Type="http://schemas.openxmlformats.org/officeDocument/2006/relationships/image" Target="media/image11.png"/><Relationship Id="rId56" Type="http://schemas.openxmlformats.org/officeDocument/2006/relationships/hyperlink" Target="https://pmc.ncbi.nlm.nih.gov/articles/PMC12292519/" TargetMode="External"/><Relationship Id="rId15" Type="http://schemas.openxmlformats.org/officeDocument/2006/relationships/image" Target="media/image21.png"/><Relationship Id="rId59" Type="http://schemas.openxmlformats.org/officeDocument/2006/relationships/hyperlink" Target="https://agriwelfare.gov.in/en/DigiAgriDiv" TargetMode="External"/><Relationship Id="rId14" Type="http://schemas.openxmlformats.org/officeDocument/2006/relationships/image" Target="media/image14.png"/><Relationship Id="rId58" Type="http://schemas.openxmlformats.org/officeDocument/2006/relationships/hyperlink" Target="https://www.informaticsjournals.co.in/index.php/jcls/article/download/48939/33806/113915" TargetMode="External"/><Relationship Id="rId17" Type="http://schemas.openxmlformats.org/officeDocument/2006/relationships/image" Target="media/image24.png"/><Relationship Id="rId16" Type="http://schemas.openxmlformats.org/officeDocument/2006/relationships/image" Target="media/image26.png"/><Relationship Id="rId19" Type="http://schemas.openxmlformats.org/officeDocument/2006/relationships/image" Target="media/image25.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