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Escassez Estrutural de Engenheiros de Inteligência Artificial no Brasil: Contexto, Análise Macroeconômica de Mercado e Justificativa de Contratação no Projeto Roça Conectada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Dinâmica Macroeconômica da Escassez de Talentos em Inteligência Artificial no Brasil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desenvolvimento e a implantação de sistemas soberanos de Inteligência Artificial (IA) no cenário nacional deparam-se com uma severa barreira de escassez de capital humano altamente qualificado. Diferente de projetos de tecnologia baseados no consumo superficial de APIs proprietárias hospedadas em infraestruturas estrangeiras, a soberania tecnológica exige profissionais habilitados no controle integral da pilha de aprendizado de máquina.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domínio técnico para projetar, realizar o ajuste fino estruturado (</w:t>
      </w:r>
      <w:r w:rsidDel="00000000" w:rsidR="00000000" w:rsidRPr="00000000">
        <w:rPr>
          <w:rFonts w:ascii="Google Sans" w:cs="Google Sans" w:eastAsia="Google Sans" w:hAnsi="Google Sans"/>
          <w:i w:val="1"/>
          <w:iCs w:val="1"/>
          <w:color w:val="1f1f1f"/>
          <w:rtl w:val="0"/>
        </w:rPr>
        <w:t xml:space="preserve">fine-tuning</w:t>
      </w:r>
      <w:r w:rsidDel="00000000" w:rsidR="00000000" w:rsidRPr="00000000">
        <w:rPr>
          <w:rFonts w:ascii="Google Sans" w:cs="Google Sans" w:eastAsia="Google Sans" w:hAnsi="Google Sans"/>
          <w:color w:val="1f1f1f"/>
          <w:rtl w:val="0"/>
        </w:rPr>
        <w:t xml:space="preserve">) e operar pipelines complexos de recuperação aumentada por geração (RAG) em ambientes de produção real constitui um conjunto de competências extremamente escasso no mercado de trabalho brasileiro.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realidade empírica é corroborada pelos dados estatísticos do </w:t>
      </w:r>
      <w:r w:rsidDel="00000000" w:rsidR="00000000" w:rsidRPr="00000000">
        <w:rPr>
          <w:rFonts w:ascii="Google Sans" w:cs="Google Sans" w:eastAsia="Google Sans" w:hAnsi="Google Sans"/>
          <w:i w:val="1"/>
          <w:iCs w:val="1"/>
          <w:color w:val="1f1f1f"/>
          <w:rtl w:val="0"/>
        </w:rPr>
        <w:t xml:space="preserve">State of Data Brasil</w:t>
      </w:r>
      <w:r w:rsidDel="00000000" w:rsidR="00000000" w:rsidRPr="00000000">
        <w:rPr>
          <w:rFonts w:ascii="Google Sans" w:cs="Google Sans" w:eastAsia="Google Sans" w:hAnsi="Google Sans"/>
          <w:color w:val="1f1f1f"/>
          <w:rtl w:val="0"/>
        </w:rPr>
        <w:t xml:space="preserve">, o maior censo do ecossistema de dados da América Latina, elaborado anualmente pela comunidade Data Hackers em parceria com a consultoria global Bain &amp; Company.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Nas edições consolidadas do levantamento, que reúnem milhares de respondentes do setor tecnológico nacional, menos de 500 profissionais autodeclararam possuir competência consolidada e experiência prática na implantação de Modelos de Linguagem de Grande Porte (LLMs) em escala de produção real.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relatório mais recente, referente ao período de 2025-2026, aponta que embora 90% das companhias brasileiras possuam iniciativas formalizadas ou em andamento na área de IA Generativa, as principais barreiras para a sua viabilização comercial continuam sendo a falta de preparação dos dados estruturados (citada por 34% dos executivos) e a escassez crítica de recursos humanos especializados internos (33,5%).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escassez não decorre apenas de deficiências formativas, mas sim de uma dinâmica de arbitragem salarial global decorrente da portabilidade geográfica intrínseca ao profissional de tecnologia.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censo indica que cerca de 3,2% de toda a força de trabalho qualificada em dados de origem brasileira já reside no exterior, exportando seus serviços diretamente a partir de países como Portugal, Alemanha, Canadá e Espanha.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consolidação definitiva do trabalho remoto internacional permitiu que engenheiros de machine learning baseados no Brasil prestassem serviços diretos a corporações norte-americanas e europeias, recebendo remunerações anuais em moeda forte que oscilam entre US$ 120.000,00 e US$ 280.000,00.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tentativa de atração desses especialistas por meio de contratações locais convencionais sob exigência de presencialidade física intensifica o desalinhamento de mercado. Os dados mostram que os profissionais de engenharia de dados e aprendizado de máquina figuram como os mais resistentes ao retorno aos escritórios, registrando uma taxa de aceitação de modelos 100% presenciais de apenas 15,9%.</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Diante da possibilidade de exigência presencial por parte dos empregadores domésticos, 71,6% da totalidade dos profissionais de dados e surpreendentes 82,3% dos profissionais sêniores afirmam que buscariam ativamente outra oportunidade no mercado remoto.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1: Parâmetros Salariais e Taxas de Mercado para Especialistas em LLM (2025-2026)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Região Geográfica de Atuação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Nível de Senioridade do Profissional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Faixa de Taxa Horária Praticada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Faixa de Remuneração Anual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Equivalente Mensal Estimado em Moeda Nacional (BRL)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América do Norte (EUA / Canadá)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Sênior / Lead Architect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a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$249.600 a $416.000+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R$ 115.000,00 a R$ 190.000,00+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Europa Ocidental (Reino Unido / Alemanha)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Sênior / Specialist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a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$166.400 a $346.000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R$ 76.000,00 a R$ 158.000,00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América Latina (Geral)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Sênior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a $180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 a $220.000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R$ 68.000,00 a R$ 100.000,00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Brasil (Mercado de Ponta)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Sênior / Lead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a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 a $280.000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R$ 68.000,00 a R$ 128.000,00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América Latina (Geral)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 Architect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 a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$220.000 a $280.000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R$ 100.000,00 a R$ 128.000,00</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Nota: Os valores em moeda nacional foram calculados com base em uma jornada mensal padrão de 160 horas de trabalho estimadas, considerando-se uma paridade cambial de referência de R$ 5,50 por dólar americano para fins de comparabilidade financeira.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Incompatibilidade Estrutural do Modelo de Bolsas de Fomento Governamental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estruturação de equipes altamente qualificadas em IA por meio do modelo tradicional de concessão de bolsas de incentivo científico revela-se uma impossibilidade operacional e financeira. No ecossistema de ciência e tecnologia brasileiro, a modalidade de bolsa DTI-A (Desenvolvimento Tecnológico e Industrial - Nível A), concedida pelo CNPq e pela FINEP para especialistas e doutores com sólida experiência em projetos de inovação, possui o valor mensal tabelado em R$ 4.100,00.</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remuneração institucional mostra-se profundamente defasada quando confrontada com a própria realidade salarial do mercado doméstico mapeada pelo censo </w:t>
      </w:r>
      <w:r w:rsidDel="00000000" w:rsidR="00000000" w:rsidRPr="00000000">
        <w:rPr>
          <w:rFonts w:ascii="Google Sans" w:cs="Google Sans" w:eastAsia="Google Sans" w:hAnsi="Google Sans"/>
          <w:i w:val="1"/>
          <w:iCs w:val="1"/>
          <w:color w:val="1f1f1f"/>
          <w:rtl w:val="0"/>
        </w:rPr>
        <w:t xml:space="preserve">State of Data 2025-2026</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Conforme demonstrado no levantamento, cerca de 58,1% dos profissionais de dados que atuam em nível estritamente júnior no Brasil já registram remuneração mensal de até R$ 4.000,00.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Paralelamente, 52,2% dos profissionais em nível sênior ganham acima de R$ 12.000,00 mensais, enquanto 57,4% dos especialistas e 59,4% dos gestores registram rendimentos que superam o teto de R$ 16.000,00 ao mês.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Dessa forma, a bolsa de fomento tecnológico máximo (DTI-A) equivale financeiramente ao piso salarial de um desenvolvedor júnior iniciante, tornando inviável atrair engenheiros sêniores e arquitetos de software capazes de liderar as entregas do projeto de 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referida defasagem pode ser expressa matematicamente pela razão de atratividade financeira (</w:t>
      </w:r>
      <w:r w:rsidDel="00000000" w:rsidR="00000000" w:rsidRPr="00000000">
        <w:rPr>
          <w:rFonts w:ascii="Google Sans" w:cs="Google Sans" w:eastAsia="Google Sans" w:hAnsi="Google Sans"/>
          <w:color w:val="1f1f1f"/>
        </w:rPr>
        <w:drawing>
          <wp:inline distB="19050" distT="19050" distL="19050" distR="19050">
            <wp:extent cx="834398" cy="221996"/>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34398" cy="221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entre a bolsa governamental e o mercado de ponta internacional: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78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778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794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valor máximo de fomento estatal representa meros 2,6% a 6% do valor de mercado que um profissional com competências em LLMs e MLOps aufere operando de forma remota.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Equipes constituídas exclusivamente por bolsistas não detêm a bagagem de engenharia de software de grande porte exigida para materializar os três núcleos centrais desta proposta científica:</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Variante Agro-BERT de </w:t>
      </w:r>
      <w:r w:rsidDel="00000000" w:rsidR="00000000" w:rsidRPr="00000000">
        <w:rPr>
          <w:rFonts w:ascii="Google Sans" w:cs="Google Sans" w:eastAsia="Google Sans" w:hAnsi="Google Sans"/>
          <w:b w:val="1"/>
          <w:bCs w:val="1"/>
          <w:color w:val="1f1f1f"/>
        </w:rPr>
        <w:drawing>
          <wp:inline distB="19050" distT="19050" distL="19050" distR="19050">
            <wp:extent cx="575629" cy="21780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5629" cy="21780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Parâmetros (7B):</w:t>
      </w:r>
      <w:r w:rsidDel="00000000" w:rsidR="00000000" w:rsidRPr="00000000">
        <w:rPr>
          <w:rFonts w:ascii="Google Sans" w:cs="Google Sans" w:eastAsia="Google Sans" w:hAnsi="Google Sans"/>
          <w:color w:val="1f1f1f"/>
          <w:rtl w:val="0"/>
        </w:rPr>
        <w:t xml:space="preserve"> O ajuste fino supervisionado a partir de técnicas de Alinhamento e Aprendizado por Reforço com Feedback Humano (RLHF) impõe severos desafios de computação distribuída, paralelismo de modelo e otimização matemática para evitar problemas de saturação de gradiente e limitações severas de memória em clusters de GPUs.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 Corpus AgroLinguaBR de </w:t>
      </w:r>
      <w:r w:rsidDel="00000000" w:rsidR="00000000" w:rsidRPr="00000000">
        <w:rPr>
          <w:rFonts w:ascii="Google Sans" w:cs="Google Sans" w:eastAsia="Google Sans" w:hAnsi="Google Sans"/>
          <w:b w:val="1"/>
          <w:bCs w:val="1"/>
          <w:color w:val="1f1f1f"/>
        </w:rPr>
        <w:drawing>
          <wp:inline distB="19050" distT="19050" distL="19050" distR="19050">
            <wp:extent cx="749901" cy="21646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9901" cy="21646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Tokens (2,2B):</w:t>
      </w:r>
      <w:r w:rsidDel="00000000" w:rsidR="00000000" w:rsidRPr="00000000">
        <w:rPr>
          <w:rFonts w:ascii="Google Sans" w:cs="Google Sans" w:eastAsia="Google Sans" w:hAnsi="Google Sans"/>
          <w:color w:val="1f1f1f"/>
          <w:rtl w:val="0"/>
        </w:rPr>
        <w:t xml:space="preserve"> A curadoria e a limpeza semântica de bases de dados agrícolas em escala de bilhões de tokens exigem cientistas de dados altamente experientes para tratar e mitigar ruídos estruturais, como amostras incorretamente rotuladas, redundâncias massivas, dados desbalanceados e vieses implícitos que podem induzir o modelo a alucinações sistemáticas em produção.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Camada Soberana de Inferência NLP e Integração Compliant WhatsApp:</w:t>
      </w:r>
      <w:r w:rsidDel="00000000" w:rsidR="00000000" w:rsidRPr="00000000">
        <w:rPr>
          <w:rFonts w:ascii="Google Sans" w:cs="Google Sans" w:eastAsia="Google Sans" w:hAnsi="Google Sans"/>
          <w:color w:val="1f1f1f"/>
          <w:rtl w:val="0"/>
        </w:rPr>
        <w:t xml:space="preserve"> O desenvolvimento de uma infraestrutura local de inferência em tempo real, com restrições rígidas de latência e compatibilidade com os termos da Lei Geral de Proteção de Dados (LGPD), constitui uma atividade de engenharia de infraestrutura crítica que excede os objetivos convencionais de pesquisas de cunho estritamente acadêmico.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Diante deste cenário de desconexão mercadológica, as agências de fomento nacionais reconhecem a impossibilidade de executar projetos tecnológicos complexos baseando-se unicamente em bolsistas.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FINEP, fundamentada pelo Decreto Federal nº 9.283/2018, viabiliza e exige a realização de pesquisas de mercado robustas com ao menos três propostas distintas para fundamentar contratações de serviços de terceiros sob o regime de subvenção econômica.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ausência de uma detalhada fundamentação de mercado para a contratação de pessoas jurídicas especializadas é uma das principais causas de rejeição e não aprovação das contas de projetos subvencionados pelas agências de fomento federais.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de Custos e Viabilidade Econômica da Contratação da THATPIX</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contratação da pessoa jurídica THATPIX ao valor fixo mensal de R$ 74.444,00 pelo período de 36 meses está em estrito alinhamento com as regras de subvenção econômica e governança do Marco Legal de CT&amp;I.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Diferente do modelo de contratação por alocação de horas de profissionais individuais (</w:t>
      </w:r>
      <w:r w:rsidDel="00000000" w:rsidR="00000000" w:rsidRPr="00000000">
        <w:rPr>
          <w:rFonts w:ascii="Google Sans" w:cs="Google Sans" w:eastAsia="Google Sans" w:hAnsi="Google Sans"/>
          <w:i w:val="1"/>
          <w:iCs w:val="1"/>
          <w:color w:val="1f1f1f"/>
          <w:rtl w:val="0"/>
        </w:rPr>
        <w:t xml:space="preserve">staff augmentation</w:t>
      </w:r>
      <w:r w:rsidDel="00000000" w:rsidR="00000000" w:rsidRPr="00000000">
        <w:rPr>
          <w:rFonts w:ascii="Google Sans" w:cs="Google Sans" w:eastAsia="Google Sans" w:hAnsi="Google Sans"/>
          <w:color w:val="1f1f1f"/>
          <w:rtl w:val="0"/>
        </w:rPr>
        <w:t xml:space="preserve">), a THATPIX assume a obrigação em regime de preço fixo por escopo, absorvendo todos os riscos operacionais inerentes à flutuação de custos de pessoal, absenteísmo, treinamento contínuo e recrutamento especializado em um segmento de altíssima rotatividade.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escopo do contrato abrange o desenvolvimento e a otimização contínua da variante do modelo Agro-BERT agrícola, a integração do backend em arquiteturas resilientes com canais de mensageria pública em conformidade com as restrições da LGPD, e a manutenção da infraestrutura de MLOps de inferência soberana.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Sob a lógica da contratação por escopo fundamentada pelo Decreto nº 9.283/2018, a decisão de como compor e balancear a equipe técnica — seja por meio da alocação de engenheiros juniores, seniores, arquitetos especializados ou pela utilização supervisionada de ferramentas de automação e agentes inteligentes de IA — constitui uma escolha operacional e gerencial autônoma da empresa executora dentro dos limites de preço fixado no edital.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economicidade do valor contratual junto à THATPIX é confirmada quando cotejada com as taxas praticadas por plataformas internacionais de atração de engenheiros de IA em regime de prestação de serviços independentes: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Estrutura de Custos de Plataformas Globais (Toptal / Upwork):</w:t>
      </w:r>
      <w:r w:rsidDel="00000000" w:rsidR="00000000" w:rsidRPr="00000000">
        <w:rPr>
          <w:rFonts w:ascii="Google Sans" w:cs="Google Sans" w:eastAsia="Google Sans" w:hAnsi="Google Sans"/>
          <w:color w:val="1f1f1f"/>
          <w:rtl w:val="0"/>
        </w:rPr>
        <w:t xml:space="preserve"> O rate card médio de mercado internacional para desenvolvedores sêniores de LLMs flutua entre USD 120,00 e USD 200,00 por hora.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Uma contratação individual full-time nesses ambientes acarreta custos mensais diretos que variam de USD 12.000,00 a USD 20.000,00.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Adicionalmente, as empresas contratantes enfrentam custos embutidos de transação, incluindo depósitos de garantia compulsórios de USD 500,00, taxas mensais de manutenção de plataforma de USD 79,00 e tarifas de recrutamento direto (</w:t>
      </w:r>
      <w:r w:rsidDel="00000000" w:rsidR="00000000" w:rsidRPr="00000000">
        <w:rPr>
          <w:rFonts w:ascii="Google Sans" w:cs="Google Sans" w:eastAsia="Google Sans" w:hAnsi="Google Sans"/>
          <w:i w:val="1"/>
          <w:iCs w:val="1"/>
          <w:color w:val="1f1f1f"/>
          <w:rtl w:val="0"/>
        </w:rPr>
        <w:t xml:space="preserve">placement fees</w:t>
      </w:r>
      <w:r w:rsidDel="00000000" w:rsidR="00000000" w:rsidRPr="00000000">
        <w:rPr>
          <w:rFonts w:ascii="Google Sans" w:cs="Google Sans" w:eastAsia="Google Sans" w:hAnsi="Google Sans"/>
          <w:color w:val="1f1f1f"/>
          <w:rtl w:val="0"/>
        </w:rPr>
        <w:t xml:space="preserve">) na casa de USD 3.500,00 por profissional selecionado.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Incidência de Prêmios de Especialização Técnica:</w:t>
      </w:r>
      <w:r w:rsidDel="00000000" w:rsidR="00000000" w:rsidRPr="00000000">
        <w:rPr>
          <w:rFonts w:ascii="Google Sans" w:cs="Google Sans" w:eastAsia="Google Sans" w:hAnsi="Google Sans"/>
          <w:color w:val="1f1f1f"/>
          <w:rtl w:val="0"/>
        </w:rPr>
        <w:t xml:space="preserve"> De acordo com o mapeamento de custos de contratação na América Latina, profissionais que dominam o treinamento customizado de LLMs (</w:t>
      </w:r>
      <w:r w:rsidDel="00000000" w:rsidR="00000000" w:rsidRPr="00000000">
        <w:rPr>
          <w:rFonts w:ascii="Google Sans" w:cs="Google Sans" w:eastAsia="Google Sans" w:hAnsi="Google Sans"/>
          <w:i w:val="1"/>
          <w:iCs w:val="1"/>
          <w:color w:val="1f1f1f"/>
          <w:rtl w:val="0"/>
        </w:rPr>
        <w:t xml:space="preserve">custom LLM training</w:t>
      </w:r>
      <w:r w:rsidDel="00000000" w:rsidR="00000000" w:rsidRPr="00000000">
        <w:rPr>
          <w:rFonts w:ascii="Google Sans" w:cs="Google Sans" w:eastAsia="Google Sans" w:hAnsi="Google Sans"/>
          <w:color w:val="1f1f1f"/>
          <w:rtl w:val="0"/>
        </w:rPr>
        <w:t xml:space="preserve">) e o ajuste fino de domínio especializado (</w:t>
      </w:r>
      <w:r w:rsidDel="00000000" w:rsidR="00000000" w:rsidRPr="00000000">
        <w:rPr>
          <w:rFonts w:ascii="Google Sans" w:cs="Google Sans" w:eastAsia="Google Sans" w:hAnsi="Google Sans"/>
          <w:i w:val="1"/>
          <w:iCs w:val="1"/>
          <w:color w:val="1f1f1f"/>
          <w:rtl w:val="0"/>
        </w:rPr>
        <w:t xml:space="preserve">domain-specific fine-tuning</w:t>
      </w:r>
      <w:r w:rsidDel="00000000" w:rsidR="00000000" w:rsidRPr="00000000">
        <w:rPr>
          <w:rFonts w:ascii="Google Sans" w:cs="Google Sans" w:eastAsia="Google Sans" w:hAnsi="Google Sans"/>
          <w:color w:val="1f1f1f"/>
          <w:rtl w:val="0"/>
        </w:rPr>
        <w:t xml:space="preserve">) exigem prêmios salariais que elevam o custo básico de mercado em +35% a +45% e +20% a +30%, respectivamente.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 modelo Agro-BERT, ao exigir competências em ambos os domínios para atuar na intersecção entre a terminologia agrícola nacional e redes neurais profundas, situa o custo de contratação direta nos patamares mais elevados da tabela salarial de especialistas.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2: Comparativo de Custos Mensais de Desenvolvimento em IA (Base de Referência 2026)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Aquisição / Prestação de Serviço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Detalhamento da Equipe e Taxas Adicionais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 Unitário de Referência (BRL)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 Mensal Total Estimado (BRL)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Nível de Risco Operacional e Governança Pública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Bolsas de Pesquisa Tradicionais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Equipe composta por 3 bolsistas de nível DTI-A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R$ 4.100,00 / bolsa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R$ 12.300,00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Risco Crítico:</w:t>
            </w:r>
            <w:r w:rsidDel="00000000" w:rsidR="00000000" w:rsidRPr="00000000">
              <w:rPr>
                <w:rFonts w:ascii="Google Sans" w:cs="Google Sans" w:eastAsia="Google Sans" w:hAnsi="Google Sans"/>
                <w:color w:val="1f1f1f"/>
                <w:shd w:fill="auto" w:val="clear"/>
                <w:rtl w:val="0"/>
              </w:rPr>
              <w:t xml:space="preserve"> Inviabilidade de atração de perfis experientes; risco severo de paralisia do projeto por falta de capacidade técnica de entrega.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Contratação de Profissionais Individuais (Toptal)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Engenheiros de LLM Sênior com alocação direta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130,00 / hora por profissional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R$ 228.800,00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Risco Elevado:</w:t>
            </w:r>
            <w:r w:rsidDel="00000000" w:rsidR="00000000" w:rsidRPr="00000000">
              <w:rPr>
                <w:rFonts w:ascii="Google Sans" w:cs="Google Sans" w:eastAsia="Google Sans" w:hAnsi="Google Sans"/>
                <w:color w:val="1f1f1f"/>
                <w:shd w:fill="auto" w:val="clear"/>
                <w:rtl w:val="0"/>
              </w:rPr>
              <w:t xml:space="preserve"> Exposição direta ao câmbio; custos extras com taxas de intermediação de plataforma e responsabilidade por rotatividade técnica.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Prestação de Serviço por Escopo (THATPIX)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Entrega integral dos 3 macro-escopos contratados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Valor fixo por entrega (Decreto 9.283/18)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R$ 74.444,00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Risco Baixo:</w:t>
            </w:r>
            <w:r w:rsidDel="00000000" w:rsidR="00000000" w:rsidRPr="00000000">
              <w:rPr>
                <w:rFonts w:ascii="Google Sans" w:cs="Google Sans" w:eastAsia="Google Sans" w:hAnsi="Google Sans"/>
                <w:color w:val="1f1f1f"/>
                <w:shd w:fill="auto" w:val="clear"/>
                <w:rtl w:val="0"/>
              </w:rPr>
              <w:t xml:space="preserve"> Custo fixado em moeda nacional; risco de atração, retenção e ociosidade de profissionais integralmente repassado à contratada.</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Trajetória de Charles Cleivin e Subsídio Contrafactual do Capital Intelectual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justificativa de execução e a viabilidade científica do projeto </w:t>
      </w:r>
      <w:r w:rsidDel="00000000" w:rsidR="00000000" w:rsidRPr="00000000">
        <w:rPr>
          <w:rFonts w:ascii="Google Sans" w:cs="Google Sans" w:eastAsia="Google Sans" w:hAnsi="Google Sans"/>
          <w:i w:val="1"/>
          <w:iCs w:val="1"/>
          <w:color w:val="1f1f1f"/>
          <w:rtl w:val="0"/>
        </w:rPr>
        <w:t xml:space="preserve">Roça Conectada</w:t>
      </w:r>
      <w:r w:rsidDel="00000000" w:rsidR="00000000" w:rsidRPr="00000000">
        <w:rPr>
          <w:rFonts w:ascii="Google Sans" w:cs="Google Sans" w:eastAsia="Google Sans" w:hAnsi="Google Sans"/>
          <w:color w:val="1f1f1f"/>
          <w:rtl w:val="0"/>
        </w:rPr>
        <w:t xml:space="preserve"> estão intimamente vinculadas à liderança de Charles Cleivin José da Costa Curty de Almeida na condição de co-pesquisador associado.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Charles Cleivin formulou a visão científica original de soberania computacional de dados voltada ao agronegócio familiar de pequeno porte, sustentando a hipótese de que modelos altamente especializados de menor dimensão parametrizada (como redes de 7B parâmetros) superam de forma eficiente os modelos generalistas proprietários estrangeiros quando submetidos a um refinamento léxico contextualizado.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Seu histórico como inventor científico e desenvolvedor de arquiteturas de hardware e inteligência aplicada é referendado por distinções acadêmicas e corporativas de relevo:</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Desenvolvimento e Patente do DDPED:</w:t>
      </w:r>
      <w:r w:rsidDel="00000000" w:rsidR="00000000" w:rsidRPr="00000000">
        <w:rPr>
          <w:rFonts w:ascii="Google Sans" w:cs="Google Sans" w:eastAsia="Google Sans" w:hAnsi="Google Sans"/>
          <w:color w:val="1f1f1f"/>
          <w:rtl w:val="0"/>
        </w:rPr>
        <w:t xml:space="preserve"> Durante sua trajetória de formação básica no Colégio de Aplicação Emmanuel Leontsinis, no Rio de Janeiro, concebeu o Dispositivo para Desfibrilação Pós-Epidérmica (DDPED), um desfibrilador de baixo custo orçado em aproximadamente R$ 800,00, projetado com interface simplificada para permitir a operação imediata por usuários sem formação médica, visando reduzir as taxas de óbito por arritmias cardíacas severas.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Reconhecimentos Científicos na FEBRACE 2013:</w:t>
      </w:r>
      <w:r w:rsidDel="00000000" w:rsidR="00000000" w:rsidRPr="00000000">
        <w:rPr>
          <w:rFonts w:ascii="Google Sans" w:cs="Google Sans" w:eastAsia="Google Sans" w:hAnsi="Google Sans"/>
          <w:color w:val="1f1f1f"/>
          <w:rtl w:val="0"/>
        </w:rPr>
        <w:t xml:space="preserve"> O referido projeto de automação médica obteve cinco distinções concomitantes na Feira Brasileira de Ciências e Engenharia promovida pela USP, incluindo o Prêmio P.E.T. Mecatrônica e o Prêmio Marinha do Brasil em Mentalidade Marítima.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Chancela Internacional na ESI Mundi 2014:</w:t>
      </w:r>
      <w:r w:rsidDel="00000000" w:rsidR="00000000" w:rsidRPr="00000000">
        <w:rPr>
          <w:rFonts w:ascii="Google Sans" w:cs="Google Sans" w:eastAsia="Google Sans" w:hAnsi="Google Sans"/>
          <w:color w:val="1f1f1f"/>
          <w:rtl w:val="0"/>
        </w:rPr>
        <w:t xml:space="preserve"> Conquistou a Medalha de Ouro Geral no fórum científico global de inovação juvenil promovido pela MILSET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acumulando reconhecimentos diretos por parte de corporações líderes globais de tecnologia como Google e Samsung, além do fomento institucional de agências de amparo à pesquisa como a FAPESP.</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Profissionais que detêm histórico equivalente de liderança técnica no desenvolvimento de sistemas inteligentes integrados de hardware e software encontram faixas de remuneração anuais no mercado norte-americano que variam de US$ 150.000,00 a US$ 300.000,00.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decisão de Charles Cleivin de atuar no projeto como co-pesquisador voluntário — sem receber qualquer remuneração custeada pelas dotações financeiras do convênio institucional UFSC-FINEP — configura um subsídio contrafactual de elevada relevância econômica para o erário.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Financeiramente, a doação integral de seu tempo e capital intelectual pode ser mensurada através do custo de oportunidade evitado pelo erário público. Ponderando-se a sua equivalência profissional internacional de USD 150.000,00 a USD 300.000,00 anuais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valor de sua atividade mensal em termos de mercado nacional equivalente situar-se-ia entre: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04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055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88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055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88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055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ajustar esses valores de acordo com os prêmios de senioridade mercadológicos para a coordenação científica e a estruturação do corpus AgroLinguaBR, a contribuição voluntária de Charles Cleivin representa uma economia real e tangível estimada entre R$ 85.000,00 e R$ 170.000,00 mensais para o projeto.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Esse aporte científico não onera as linhas de custeio diretas da subvenção governamental, permitindo o direcionamento exclusivo do orçamento aprovado para as frentes de execução tecnológica e infraestrutura física.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Governança Legal, Novo Marco Legal de CT&amp;I e Alinhamento com as Normas da UFSC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dupla função exercida por Charles Cleivin — atuando como pesquisador institucional copartícipe na concepção científica e figurando como fundador da empresa executora contratada THATPIX — é respaldada pelas regras vigentes no Novo Marco Legal de Ciência, Tecnologia e Inovação (Lei Federal nº 10.973/2004, com redação dada pela Lei nº 13.243/2016) e devidamente regulamentada pelo Decreto Federal nº 9.283/2018.</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ordenamento jurídico nacional buscou de forma inequívoca mitigar as barreiras burocráticas e regulamentares que historicamente impediam a transferência de tecnologia entre os setores público e privado, prevendo mecanismos claros de cooperação e remuneração de pesquisadores em parcerias universidade-empresa.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acordo com o mapa legal brasileiro de CTI:</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Participação Societária Sem Atribuição de Gestão:</w:t>
      </w:r>
      <w:r w:rsidDel="00000000" w:rsidR="00000000" w:rsidRPr="00000000">
        <w:rPr>
          <w:rFonts w:ascii="Google Sans" w:cs="Google Sans" w:eastAsia="Google Sans" w:hAnsi="Google Sans"/>
          <w:color w:val="1f1f1f"/>
          <w:rtl w:val="0"/>
        </w:rPr>
        <w:t xml:space="preserve"> É lícito ao pesquisador público de Instituição de Ciência e Tecnologia (ICT) atuar na constituição de empresas de base tecnológica (startups) na condição de sócio cotista.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proibição legal restringe-se ao exercício de funções administrativas corporativas ordinárias e gerência comercial executiva ativa, as quais podem ser exercidas apenas sob o amparo de licença institucional sem remuneração do cargo original.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Atividades de P&amp;D em Empresas Privadas:</w:t>
      </w:r>
      <w:r w:rsidDel="00000000" w:rsidR="00000000" w:rsidRPr="00000000">
        <w:rPr>
          <w:rFonts w:ascii="Google Sans" w:cs="Google Sans" w:eastAsia="Google Sans" w:hAnsi="Google Sans"/>
          <w:color w:val="1f1f1f"/>
          <w:rtl w:val="0"/>
        </w:rPr>
        <w:t xml:space="preserve"> O artigo 14-A da Lei nº 10.973/2004 autoriza expressamente que o pesquisador público, inclusive sob regime de Dedicação Exclusiva (DE), exerça atividades remuneradas de pesquisa, desenvolvimento e inovação em empresas privadas ou em outras ICTs, desde que respeitada a conveniência de sua instituição de origem e resguardada a continuidade das suas atividades didáticas e de pesquisa acadêmica ordinária.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âmbito institucional local, esse arranjo encontra perfeita conformidade com a </w:t>
      </w:r>
      <w:r w:rsidDel="00000000" w:rsidR="00000000" w:rsidRPr="00000000">
        <w:rPr>
          <w:rFonts w:ascii="Google Sans" w:cs="Google Sans" w:eastAsia="Google Sans" w:hAnsi="Google Sans"/>
          <w:b w:val="1"/>
          <w:bCs w:val="1"/>
          <w:color w:val="1f1f1f"/>
          <w:rtl w:val="0"/>
        </w:rPr>
        <w:t xml:space="preserve">Resolução Normativa nº 164/2022/CUn</w:t>
      </w:r>
      <w:r w:rsidDel="00000000" w:rsidR="00000000" w:rsidRPr="00000000">
        <w:rPr>
          <w:rFonts w:ascii="Google Sans" w:cs="Google Sans" w:eastAsia="Google Sans" w:hAnsi="Google Sans"/>
          <w:color w:val="1f1f1f"/>
          <w:rtl w:val="0"/>
        </w:rPr>
        <w:t xml:space="preserve"> da Universidade Federal de Santa Catarina (UFSC), que define de forma minuciosa a Política de Inovação e Empreendedorismo da universidade.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resolução visa fomentar a autonomia tecnológica e consolidar o ecossistema de inovação da UFSC, estabelecendo critérios formais para a permissão de uso de laboratórios, ativos de propriedade intelectual e a transferência sistemática de conhecimento científico para organizações da sociedade.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Secretaria de Inovação (SINOVA) e o Comitê de Inovação da UFSC atuam como os órgãos internos encarregados de avaliar a regularidade desses arranjos, sanando eventuais dúvidas regulatórias sobre os limites de propriedade cruzada e garantindo a devida proteção de ativos intangíveis da universidade.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transparência de governança no projeto </w:t>
      </w:r>
      <w:r w:rsidDel="00000000" w:rsidR="00000000" w:rsidRPr="00000000">
        <w:rPr>
          <w:rFonts w:ascii="Google Sans" w:cs="Google Sans" w:eastAsia="Google Sans" w:hAnsi="Google Sans"/>
          <w:i w:val="1"/>
          <w:iCs w:val="1"/>
          <w:color w:val="1f1f1f"/>
          <w:rtl w:val="0"/>
        </w:rPr>
        <w:t xml:space="preserve">Roça Conectada</w:t>
      </w:r>
      <w:r w:rsidDel="00000000" w:rsidR="00000000" w:rsidRPr="00000000">
        <w:rPr>
          <w:rFonts w:ascii="Google Sans" w:cs="Google Sans" w:eastAsia="Google Sans" w:hAnsi="Google Sans"/>
          <w:color w:val="1f1f1f"/>
          <w:rtl w:val="0"/>
        </w:rPr>
        <w:t xml:space="preserve"> é garantida pela separação estrutural e administrativa entre a direção científica do projeto e a execução material do escopo contratado:</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Direção Científica e Conceitual (UFSC):</w:t>
      </w:r>
      <w:r w:rsidDel="00000000" w:rsidR="00000000" w:rsidRPr="00000000">
        <w:rPr>
          <w:rFonts w:ascii="Google Sans" w:cs="Google Sans" w:eastAsia="Google Sans" w:hAnsi="Google Sans"/>
          <w:color w:val="1f1f1f"/>
          <w:rtl w:val="0"/>
        </w:rPr>
        <w:t xml:space="preserve"> Sob responsabilidade e supervisão direta de Charles Cleivin e da equipe científica associada à universidade pública, compreendendo as decisões estratégicas de arquitetura de soberania em IA, curadoria do corpus AgroLinguaBR, taxonomia semântica de dados rurais e alinhamento ético e cultural.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As ações científicas são regidas pelo convênio institucional primário UFSC-FINEP, submetidas à fiscalização direta dos órgãos de controle acadêmicos.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Execução Técnica e Operacional (THATPIX):</w:t>
      </w:r>
      <w:r w:rsidDel="00000000" w:rsidR="00000000" w:rsidRPr="00000000">
        <w:rPr>
          <w:rFonts w:ascii="Google Sans" w:cs="Google Sans" w:eastAsia="Google Sans" w:hAnsi="Google Sans"/>
          <w:color w:val="1f1f1f"/>
          <w:rtl w:val="0"/>
        </w:rPr>
        <w:t xml:space="preserve"> Delimitada exclusivamente às frentes instrumentais e de infraestrutura, incluindo a provisão física e gerenciamento de servidores de GPUs na nuvem soberana, codificação de microsserviços e APIs, integração técnica resiliente com o gateway do WhatsApp e sustentação das rotinas operacionais de MLOps.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separação clara de atribuições assegura cadeias de responsabilidade de contas distintas e auditáveis.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gestão dos recursos de subvenção econômica é processada de maneira transparente, aplicando-se de forma estrita as normas do regulamento de compras e as vedações contra a mistura de recursos e conciliações contábeis inadequadas vigentes nos manuais de convênios da FINEP.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Assim, a administração pública obtém o benefício de usufruir gratuitamente do principal capital intelectual estratégico e formulador da tecnologia (Charles Cleivin via UFSC), enquanto a execução dos serviços de engenharia de software de alta densidade é suprida contratualmente a taxas domésticas de mercado perfeitamente verificáveis e em total aderência à lei.</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Considerações Finais e Recomendações de Governança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estruturação orçamentária e jurídica do projeto </w:t>
      </w:r>
      <w:r w:rsidDel="00000000" w:rsidR="00000000" w:rsidRPr="00000000">
        <w:rPr>
          <w:rFonts w:ascii="Google Sans" w:cs="Google Sans" w:eastAsia="Google Sans" w:hAnsi="Google Sans"/>
          <w:i w:val="1"/>
          <w:iCs w:val="1"/>
          <w:color w:val="1f1f1f"/>
          <w:rtl w:val="0"/>
        </w:rPr>
        <w:t xml:space="preserve">Roça Conectada</w:t>
      </w:r>
      <w:r w:rsidDel="00000000" w:rsidR="00000000" w:rsidRPr="00000000">
        <w:rPr>
          <w:rFonts w:ascii="Google Sans" w:cs="Google Sans" w:eastAsia="Google Sans" w:hAnsi="Google Sans"/>
          <w:color w:val="1f1f1f"/>
          <w:rtl w:val="0"/>
        </w:rPr>
        <w:t xml:space="preserve"> demonstra uma profunda compreensão das forças competitivas e regulatórias vigentes no ecossistema de Inteligência Artificial em 2026. A substituição do modelo ineficaz de contratações baseadas unicamente em bolsas acadêmicas DTI-A por um contrato de prestação de serviços técnicos por escopo junto à THATPIX assegura a atratividade do projeto e mitiga os riscos de interrupção técnica em decorrência da alta rotatividade.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assegurar a conformidade regulatória contínua do projeto, propõem-se as seguintes recomendações gerenciais: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Validação Formal Perante a SINOVA/UFSC:</w:t>
      </w:r>
      <w:r w:rsidDel="00000000" w:rsidR="00000000" w:rsidRPr="00000000">
        <w:rPr>
          <w:rFonts w:ascii="Google Sans" w:cs="Google Sans" w:eastAsia="Google Sans" w:hAnsi="Google Sans"/>
          <w:color w:val="1f1f1f"/>
          <w:rtl w:val="0"/>
        </w:rPr>
        <w:t xml:space="preserve"> Submeter a modelagem jurídica de dupla atuação de Charles Cleivin à análise formal e chancela prévia da Secretaria de Inovação da UFSC, amparando-se nos termos da Resolução Normativa nº 164/2022/CUn e garantindo que todas as atividades institucionais e privadas estejam devidamente coordenadas e documentadas.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Controle de Evidências de Entrega por Escopo:</w:t>
      </w:r>
      <w:r w:rsidDel="00000000" w:rsidR="00000000" w:rsidRPr="00000000">
        <w:rPr>
          <w:rFonts w:ascii="Google Sans" w:cs="Google Sans" w:eastAsia="Google Sans" w:hAnsi="Google Sans"/>
          <w:color w:val="1f1f1f"/>
          <w:rtl w:val="0"/>
        </w:rPr>
        <w:t xml:space="preserve"> Estruturar a prestação de contas dos serviços da THATPIX com base na comprovação empírica dos artefatos técnicos de MLOps, documentando os marcos de otimização de parâmetros do Agro-BERT e as integrações estruturadas do canal WhatsApp sob relatórios formais de conformidade técnica em total aderência às exigências orçamentárias de subvenção.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Auditoria de Conformidade LGPD Contínua:</w:t>
      </w:r>
      <w:r w:rsidDel="00000000" w:rsidR="00000000" w:rsidRPr="00000000">
        <w:rPr>
          <w:rFonts w:ascii="Google Sans" w:cs="Google Sans" w:eastAsia="Google Sans" w:hAnsi="Google Sans"/>
          <w:color w:val="1f1f1f"/>
          <w:rtl w:val="0"/>
        </w:rPr>
        <w:t xml:space="preserve"> Estabelecer rotinas periódicas de avaliação de privacidade para certificar que a infraestrutura soberana local e o pipeline de processamento do corpus AgroLinguaBR e mensagens dos produtores agrícolas cumpram com os regulamentos vigentes de proteção de dados, resguardando o projeto contra eventuais questionamentos jurídicos de segurança de informação.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Data 2024 - 2025 - Bain &amp; Company, accessed May 17, 2026, </w:t>
      </w:r>
      <w:hyperlink r:id="rId14">
        <w:r w:rsidDel="00000000" w:rsidR="00000000" w:rsidRPr="00000000">
          <w:rPr>
            <w:rFonts w:ascii="Google Sans" w:cs="Google Sans" w:eastAsia="Google Sans" w:hAnsi="Google Sans"/>
            <w:color w:val="0000ee"/>
            <w:sz w:val="24"/>
            <w:szCs w:val="24"/>
            <w:u w:val="single"/>
            <w:rtl w:val="0"/>
          </w:rPr>
          <w:t xml:space="preserve">https://www.bain.com/contentassets/1c5b651fcdad45a794863d1d6df480b4/bain--company-e-data-hackers---state-of-data-2024.pdf</w:t>
        </w:r>
      </w:hyperlink>
      <w:r w:rsidDel="00000000" w:rsidR="00000000" w:rsidRPr="00000000">
        <w:rPr>
          <w:rtl w:val="0"/>
        </w:rPr>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AI Jobs That Pay $100K+ in 2026: 15 Proven High-Paying Roles (Ultimate Guide), accessed May 17, 2026, </w:t>
      </w:r>
      <w:hyperlink r:id="rId15">
        <w:r w:rsidDel="00000000" w:rsidR="00000000" w:rsidRPr="00000000">
          <w:rPr>
            <w:rFonts w:ascii="Google Sans" w:cs="Google Sans" w:eastAsia="Google Sans" w:hAnsi="Google Sans"/>
            <w:color w:val="0000ee"/>
            <w:sz w:val="24"/>
            <w:szCs w:val="24"/>
            <w:u w:val="single"/>
            <w:rtl w:val="0"/>
          </w:rPr>
          <w:t xml:space="preserve">https://abhyashsuchi.in/remote-ai-jobs-that-pay-100k-us-uk-canada/</w:t>
        </w:r>
      </w:hyperlink>
      <w:r w:rsidDel="00000000" w:rsidR="00000000" w:rsidRPr="00000000">
        <w:rPr>
          <w:rtl w:val="0"/>
        </w:rPr>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Data 2025-2026 | Bain &amp; Company, accessed May 17, 2026, </w:t>
      </w:r>
      <w:hyperlink r:id="rId16">
        <w:r w:rsidDel="00000000" w:rsidR="00000000" w:rsidRPr="00000000">
          <w:rPr>
            <w:rFonts w:ascii="Google Sans" w:cs="Google Sans" w:eastAsia="Google Sans" w:hAnsi="Google Sans"/>
            <w:color w:val="0000ee"/>
            <w:sz w:val="24"/>
            <w:szCs w:val="24"/>
            <w:u w:val="single"/>
            <w:rtl w:val="0"/>
          </w:rPr>
          <w:t xml:space="preserve">https://www.bain.com/pt-br/insights/state-of-data-2025/</w:t>
        </w:r>
      </w:hyperlink>
      <w:r w:rsidDel="00000000" w:rsidR="00000000" w:rsidRPr="00000000">
        <w:rPr>
          <w:rtl w:val="0"/>
        </w:rPr>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Data Brazil 2024-2025 - Kaggle, accessed May 17, 2026, </w:t>
      </w:r>
      <w:hyperlink r:id="rId17">
        <w:r w:rsidDel="00000000" w:rsidR="00000000" w:rsidRPr="00000000">
          <w:rPr>
            <w:rFonts w:ascii="Google Sans" w:cs="Google Sans" w:eastAsia="Google Sans" w:hAnsi="Google Sans"/>
            <w:color w:val="0000ee"/>
            <w:sz w:val="24"/>
            <w:szCs w:val="24"/>
            <w:u w:val="single"/>
            <w:rtl w:val="0"/>
          </w:rPr>
          <w:t xml:space="preserve">https://www.kaggle.com/datasets/datahackers/state-of-data-brazil-20242025</w:t>
        </w:r>
      </w:hyperlink>
      <w:r w:rsidDel="00000000" w:rsidR="00000000" w:rsidRPr="00000000">
        <w:rPr>
          <w:rtl w:val="0"/>
        </w:rPr>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Déficit de Profissionais de TI no Brasil: Transforme a Crise em Oportunidade, accessed May 17, 2026, </w:t>
      </w:r>
      <w:hyperlink r:id="rId18">
        <w:r w:rsidDel="00000000" w:rsidR="00000000" w:rsidRPr="00000000">
          <w:rPr>
            <w:rFonts w:ascii="Google Sans" w:cs="Google Sans" w:eastAsia="Google Sans" w:hAnsi="Google Sans"/>
            <w:color w:val="0000ee"/>
            <w:sz w:val="24"/>
            <w:szCs w:val="24"/>
            <w:u w:val="single"/>
            <w:rtl w:val="0"/>
          </w:rPr>
          <w:t xml:space="preserve">https://ascendeducation.com/pt-br/deficit-profissionais-ti-brasil-oportunidade/</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Freelancers Actually Make in 2026? I Analyzed the Data by Skill, Country, and Platform | by Jobbers.io | Medium, accessed May 17, 2026, </w:t>
      </w:r>
      <w:hyperlink r:id="rId19">
        <w:r w:rsidDel="00000000" w:rsidR="00000000" w:rsidRPr="00000000">
          <w:rPr>
            <w:rFonts w:ascii="Google Sans" w:cs="Google Sans" w:eastAsia="Google Sans" w:hAnsi="Google Sans"/>
            <w:color w:val="0000ee"/>
            <w:sz w:val="24"/>
            <w:szCs w:val="24"/>
            <w:u w:val="single"/>
            <w:rtl w:val="0"/>
          </w:rPr>
          <w:t xml:space="preserve">https://medium.com/@platform.jobbers.io/how-much-do-freelancers-actually-make-in-2026-i-analyzed-the-data-by-skill-country-and-platform-b079eb194dd5</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Toptal Review: Is It Worth It for Tech Hiring? (2026) - Tecla, accessed May 17, 2026, </w:t>
      </w:r>
      <w:hyperlink r:id="rId20">
        <w:r w:rsidDel="00000000" w:rsidR="00000000" w:rsidRPr="00000000">
          <w:rPr>
            <w:rFonts w:ascii="Google Sans" w:cs="Google Sans" w:eastAsia="Google Sans" w:hAnsi="Google Sans"/>
            <w:color w:val="0000ee"/>
            <w:sz w:val="24"/>
            <w:szCs w:val="24"/>
            <w:u w:val="single"/>
            <w:rtl w:val="0"/>
          </w:rPr>
          <w:t xml:space="preserve">https://www.tecla.io/blog/toptal-review</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Developer Hourly Rates in 2025: CEE, LATAM &amp; Asia - Index.dev, accessed May 17, 2026, </w:t>
      </w:r>
      <w:hyperlink r:id="rId21">
        <w:r w:rsidDel="00000000" w:rsidR="00000000" w:rsidRPr="00000000">
          <w:rPr>
            <w:rFonts w:ascii="Google Sans" w:cs="Google Sans" w:eastAsia="Google Sans" w:hAnsi="Google Sans"/>
            <w:color w:val="0000ee"/>
            <w:sz w:val="24"/>
            <w:szCs w:val="24"/>
            <w:u w:val="single"/>
            <w:rtl w:val="0"/>
          </w:rPr>
          <w:t xml:space="preserve">https://www.index.dev/blog/llm-developer-hourly-rates</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de Bolsas - UFRJ, accessed May 17, 2026, </w:t>
      </w:r>
      <w:hyperlink r:id="rId22">
        <w:r w:rsidDel="00000000" w:rsidR="00000000" w:rsidRPr="00000000">
          <w:rPr>
            <w:rFonts w:ascii="Google Sans" w:cs="Google Sans" w:eastAsia="Google Sans" w:hAnsi="Google Sans"/>
            <w:color w:val="0000ee"/>
            <w:sz w:val="24"/>
            <w:szCs w:val="24"/>
            <w:u w:val="single"/>
            <w:rtl w:val="0"/>
          </w:rPr>
          <w:t xml:space="preserve">https://www.fujb.ufrj.br/wp-content/uploads/2025/10/Tabela-de-bolsas-FUJB_aprovada-na-489a-ROCA.pdf</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de Valores de Bolsas e Auxílios em Vigor - alterada pela Res 62-2012_Res 84-89 e 100-2013_docx - FAPES, accessed May 17, 2026, </w:t>
      </w:r>
      <w:hyperlink r:id="rId23">
        <w:r w:rsidDel="00000000" w:rsidR="00000000" w:rsidRPr="00000000">
          <w:rPr>
            <w:rFonts w:ascii="Google Sans" w:cs="Google Sans" w:eastAsia="Google Sans" w:hAnsi="Google Sans"/>
            <w:color w:val="0000ee"/>
            <w:sz w:val="24"/>
            <w:szCs w:val="24"/>
            <w:u w:val="single"/>
            <w:rtl w:val="0"/>
          </w:rPr>
          <w:t xml:space="preserve">https://fapes.es.gov.br/Media/fapes/Lista%20de%20Arquivos/Valores%20de%20bolsas%20e%20auxilios/TABELA_VALORES_18DEZ13_a_13_05_15.pdf</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Bolsa CNPq 2026: Como Conseguir e Requisitos - tesify, accessed May 17, 2026, </w:t>
      </w:r>
      <w:hyperlink r:id="rId24">
        <w:r w:rsidDel="00000000" w:rsidR="00000000" w:rsidRPr="00000000">
          <w:rPr>
            <w:rFonts w:ascii="Google Sans" w:cs="Google Sans" w:eastAsia="Google Sans" w:hAnsi="Google Sans"/>
            <w:color w:val="0000ee"/>
            <w:sz w:val="24"/>
            <w:szCs w:val="24"/>
            <w:u w:val="single"/>
            <w:rtl w:val="0"/>
          </w:rPr>
          <w:t xml:space="preserve">https://tesify.pt/bolsa-cnpq-como-conseguir-2026-requisitos-prazos/</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 Benelux Intelligence Community - Bi-kring.nl, accessed May 17, 2026, </w:t>
      </w:r>
      <w:hyperlink r:id="rId25">
        <w:r w:rsidDel="00000000" w:rsidR="00000000" w:rsidRPr="00000000">
          <w:rPr>
            <w:rFonts w:ascii="Google Sans" w:cs="Google Sans" w:eastAsia="Google Sans" w:hAnsi="Google Sans"/>
            <w:color w:val="0000ee"/>
            <w:sz w:val="24"/>
            <w:szCs w:val="24"/>
            <w:u w:val="single"/>
            <w:rtl w:val="0"/>
          </w:rPr>
          <w:t xml:space="preserve">https://www.bi-kring.nl/component/easytagcloud/293-module/158-machine-learning</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o pesquisador público pode empreender?, accessed May 17, 2026, </w:t>
      </w:r>
      <w:hyperlink r:id="rId26">
        <w:r w:rsidDel="00000000" w:rsidR="00000000" w:rsidRPr="00000000">
          <w:rPr>
            <w:rFonts w:ascii="Google Sans" w:cs="Google Sans" w:eastAsia="Google Sans" w:hAnsi="Google Sans"/>
            <w:color w:val="0000ee"/>
            <w:sz w:val="24"/>
            <w:szCs w:val="24"/>
            <w:u w:val="single"/>
            <w:rtl w:val="0"/>
          </w:rPr>
          <w:t xml:space="preserve">https://via.ufsc.br/como-o-pesquisador-publico-pode-empreender/</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CONTRATO FINEP - Fundação Araucária, accessed May 17, 2026, </w:t>
      </w:r>
      <w:hyperlink r:id="rId27">
        <w:r w:rsidDel="00000000" w:rsidR="00000000" w:rsidRPr="00000000">
          <w:rPr>
            <w:rFonts w:ascii="Google Sans" w:cs="Google Sans" w:eastAsia="Google Sans" w:hAnsi="Google Sans"/>
            <w:color w:val="0000ee"/>
            <w:sz w:val="24"/>
            <w:szCs w:val="24"/>
            <w:u w:val="single"/>
            <w:rtl w:val="0"/>
          </w:rPr>
          <w:t xml:space="preserve">https://www.fappr.pr.gov.br/sites/fundacao-araucaria/arquivos_restritos/files/documento/2021-10/contrato_finep.pdf</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D9283 - Planalto, accessed May 17, 2026, </w:t>
      </w:r>
      <w:hyperlink r:id="rId28">
        <w:r w:rsidDel="00000000" w:rsidR="00000000" w:rsidRPr="00000000">
          <w:rPr>
            <w:rFonts w:ascii="Google Sans" w:cs="Google Sans" w:eastAsia="Google Sans" w:hAnsi="Google Sans"/>
            <w:color w:val="0000ee"/>
            <w:sz w:val="24"/>
            <w:szCs w:val="24"/>
            <w:u w:val="single"/>
            <w:rtl w:val="0"/>
          </w:rPr>
          <w:t xml:space="preserve">https://www.planalto.gov.br/ccivil_03/_ato2015-2018/2018/decreto/d9283.htm</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FINEP Manual de Convênios e Termos de Cooperação - FEMAR, accessed May 17, 2026, </w:t>
      </w:r>
      <w:hyperlink r:id="rId29">
        <w:r w:rsidDel="00000000" w:rsidR="00000000" w:rsidRPr="00000000">
          <w:rPr>
            <w:rFonts w:ascii="Google Sans" w:cs="Google Sans" w:eastAsia="Google Sans" w:hAnsi="Google Sans"/>
            <w:color w:val="0000ee"/>
            <w:sz w:val="24"/>
            <w:szCs w:val="24"/>
            <w:u w:val="single"/>
            <w:rtl w:val="0"/>
          </w:rPr>
          <w:t xml:space="preserve">https://fundacaofemar.org.br/portalwordpress/wp-content/uploads/2022/09/M_OPE_002_10ManualdeConvenioseTCrev02.pdf</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17, 2026, </w:t>
      </w:r>
      <w:hyperlink r:id="rId30">
        <w:r w:rsidDel="00000000" w:rsidR="00000000" w:rsidRPr="00000000">
          <w:rPr>
            <w:rFonts w:ascii="Google Sans" w:cs="Google Sans" w:eastAsia="Google Sans" w:hAnsi="Google Sans"/>
            <w:color w:val="0000ee"/>
            <w:sz w:val="24"/>
            <w:szCs w:val="24"/>
            <w:u w:val="single"/>
            <w:rtl w:val="0"/>
          </w:rPr>
          <w:t xml:space="preserve">https://premio.finep.gov.br/images/chamadas-publicas/2025/23_12_2025_TC_Regulamento_Rerratificado2.odt</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D9283 - INTO, accessed May 17, 2026, </w:t>
      </w:r>
      <w:hyperlink r:id="rId31">
        <w:r w:rsidDel="00000000" w:rsidR="00000000" w:rsidRPr="00000000">
          <w:rPr>
            <w:rFonts w:ascii="Google Sans" w:cs="Google Sans" w:eastAsia="Google Sans" w:hAnsi="Google Sans"/>
            <w:color w:val="0000ee"/>
            <w:sz w:val="24"/>
            <w:szCs w:val="24"/>
            <w:u w:val="single"/>
            <w:rtl w:val="0"/>
          </w:rPr>
          <w:t xml:space="preserve">https://www.into.saude.gov.br/images/pdf/pesquisa/NIT/D9283.pdf</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Hire AI Engineers from Latin America - HireLATAM, accessed May 17, 2026, </w:t>
      </w:r>
      <w:hyperlink r:id="rId32">
        <w:r w:rsidDel="00000000" w:rsidR="00000000" w:rsidRPr="00000000">
          <w:rPr>
            <w:rFonts w:ascii="Google Sans" w:cs="Google Sans" w:eastAsia="Google Sans" w:hAnsi="Google Sans"/>
            <w:color w:val="0000ee"/>
            <w:sz w:val="24"/>
            <w:szCs w:val="24"/>
            <w:u w:val="single"/>
            <w:rtl w:val="0"/>
          </w:rPr>
          <w:t xml:space="preserve">https://hirelatam.com/hire-ai-engineer/</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PREMIADOS NA SEGUNDA CERIMÔNIA DE PREMIAÇÃO DA FEBRACE 2013, accessed May 17, 2026, </w:t>
      </w:r>
      <w:hyperlink r:id="rId33">
        <w:r w:rsidDel="00000000" w:rsidR="00000000" w:rsidRPr="00000000">
          <w:rPr>
            <w:rFonts w:ascii="Google Sans" w:cs="Google Sans" w:eastAsia="Google Sans" w:hAnsi="Google Sans"/>
            <w:color w:val="0000ee"/>
            <w:sz w:val="24"/>
            <w:szCs w:val="24"/>
            <w:u w:val="single"/>
            <w:rtl w:val="0"/>
          </w:rPr>
          <w:t xml:space="preserve">https://febrace.org.br/wp-content/uploads/2021/06/cerimonia_2013_parte2.pdf</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PREMIADOS NA PRIMEIRA CERIMÔNIA DE PREMIAÇÃO DA FEBRACE 2013, accessed May 17, 2026, </w:t>
      </w:r>
      <w:hyperlink r:id="rId34">
        <w:r w:rsidDel="00000000" w:rsidR="00000000" w:rsidRPr="00000000">
          <w:rPr>
            <w:rFonts w:ascii="Google Sans" w:cs="Google Sans" w:eastAsia="Google Sans" w:hAnsi="Google Sans"/>
            <w:color w:val="0000ee"/>
            <w:sz w:val="24"/>
            <w:szCs w:val="24"/>
            <w:u w:val="single"/>
            <w:rtl w:val="0"/>
          </w:rPr>
          <w:t xml:space="preserve">https://febrace.org.br/wp-content/uploads/2021/06/cerimonia_2013_parte1.pdf</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Escola da inovação | Confea - Conselho Federal de Engenharia e Agronomia, accessed May 17, 2026, </w:t>
      </w:r>
      <w:hyperlink r:id="rId35">
        <w:r w:rsidDel="00000000" w:rsidR="00000000" w:rsidRPr="00000000">
          <w:rPr>
            <w:rFonts w:ascii="Google Sans" w:cs="Google Sans" w:eastAsia="Google Sans" w:hAnsi="Google Sans"/>
            <w:color w:val="0000ee"/>
            <w:sz w:val="24"/>
            <w:szCs w:val="24"/>
            <w:u w:val="single"/>
            <w:rtl w:val="0"/>
          </w:rPr>
          <w:t xml:space="preserve">https://www.confea.org.br/escola-da-inovacao</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‎Charles Cleivin; Juliana Mergener; Thiago Alves - Projeto, accessed May 17, 2026, </w:t>
      </w:r>
      <w:hyperlink r:id="rId36">
        <w:r w:rsidDel="00000000" w:rsidR="00000000" w:rsidRPr="00000000">
          <w:rPr>
            <w:rFonts w:ascii="Google Sans" w:cs="Google Sans" w:eastAsia="Google Sans" w:hAnsi="Google Sans"/>
            <w:color w:val="0000ee"/>
            <w:sz w:val="24"/>
            <w:szCs w:val="24"/>
            <w:u w:val="single"/>
            <w:rtl w:val="0"/>
          </w:rPr>
          <w:t xml:space="preserve">https://tv.apple.com/us/episode/charles-cleivin-juliana-mergener-thiago-alves/umc.cmc.7aaw64npuygh7wbzh2tv3mbth?showId=umc.cmc.4659wjxvl4wduld5eqe74rso</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Anais - Milset Brasil 2013 Pronto 06.05 - Scribd, accessed May 17, 2026, </w:t>
      </w:r>
      <w:hyperlink r:id="rId37">
        <w:r w:rsidDel="00000000" w:rsidR="00000000" w:rsidRPr="00000000">
          <w:rPr>
            <w:rFonts w:ascii="Google Sans" w:cs="Google Sans" w:eastAsia="Google Sans" w:hAnsi="Google Sans"/>
            <w:color w:val="0000ee"/>
            <w:sz w:val="24"/>
            <w:szCs w:val="24"/>
            <w:u w:val="single"/>
            <w:rtl w:val="0"/>
          </w:rPr>
          <w:t xml:space="preserve">https://pt.scribd.com/document/355075113/Anais-Milset-Brasil-2013-Pronto-06-05</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Charles Cleivin; Juliana Mergener; Thiago Alves - Projeto Empreender online no Globoplay, accessed May 17, 2026, </w:t>
      </w:r>
      <w:hyperlink r:id="rId38">
        <w:r w:rsidDel="00000000" w:rsidR="00000000" w:rsidRPr="00000000">
          <w:rPr>
            <w:rFonts w:ascii="Google Sans" w:cs="Google Sans" w:eastAsia="Google Sans" w:hAnsi="Google Sans"/>
            <w:color w:val="0000ee"/>
            <w:sz w:val="24"/>
            <w:szCs w:val="24"/>
            <w:u w:val="single"/>
            <w:rtl w:val="0"/>
          </w:rPr>
          <w:t xml:space="preserve">https://globoplay.globo.com/v/5457723/</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#entrepreneurshipproject - Charles Cleivin - YouTube, accessed May 17,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https://www.youtube.com/watch?v=Nu0Q0n2kLM4</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MARCO LEGAL (CT&amp;I) NO SISTEMA NACIONAL DE INOVA ÇÇÃO DO BRASIL :: UMA AVALIAÇÃODE INDICADORES SELECIONADOS - Repositório Institucional UNESP, accessed May 17, 2026, </w:t>
      </w:r>
      <w:hyperlink r:id="rId40">
        <w:r w:rsidDel="00000000" w:rsidR="00000000" w:rsidRPr="00000000">
          <w:rPr>
            <w:rFonts w:ascii="Google Sans" w:cs="Google Sans" w:eastAsia="Google Sans" w:hAnsi="Google Sans"/>
            <w:color w:val="0000ee"/>
            <w:sz w:val="24"/>
            <w:szCs w:val="24"/>
            <w:u w:val="single"/>
            <w:rtl w:val="0"/>
          </w:rPr>
          <w:t xml:space="preserve">https://repositorio.unesp.br/server/api/core/bitstreams/5faf3c4a-acef-404c-b890-063944fbf5de/content</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Universidade Federal de Santa Catarina em articulações com a Federação das Indústrias do Estado de Santa Catarina constru - Repositório Institucional da UFSC, accessed May 17, 2026, </w:t>
      </w:r>
      <w:hyperlink r:id="rId41">
        <w:r w:rsidDel="00000000" w:rsidR="00000000" w:rsidRPr="00000000">
          <w:rPr>
            <w:rFonts w:ascii="Google Sans" w:cs="Google Sans" w:eastAsia="Google Sans" w:hAnsi="Google Sans"/>
            <w:color w:val="0000ee"/>
            <w:sz w:val="24"/>
            <w:szCs w:val="24"/>
            <w:u w:val="single"/>
            <w:rtl w:val="0"/>
          </w:rPr>
          <w:t xml:space="preserve">https://repositorio.ufsc.br/bitstream/handle/123456789/235603/RN_164-2022-CUn_Politica_de_Inovacao_e_Empreendedorismo_UFSC.pdf?sequence=1&amp;isAllowed=y</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I PLANO DE TRABALHO - Comprasnet Contratos, accessed May 17, 2026, </w:t>
      </w:r>
      <w:hyperlink r:id="rId42">
        <w:r w:rsidDel="00000000" w:rsidR="00000000" w:rsidRPr="00000000">
          <w:rPr>
            <w:rFonts w:ascii="Google Sans" w:cs="Google Sans" w:eastAsia="Google Sans" w:hAnsi="Google Sans"/>
            <w:color w:val="0000ee"/>
            <w:sz w:val="24"/>
            <w:szCs w:val="24"/>
            <w:u w:val="single"/>
            <w:rtl w:val="0"/>
          </w:rPr>
          <w:t xml:space="preserve">https://contratos.comprasnet.gov.br/gescon/consulta/download-arquivo-contrato/244814</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Regulamento de Compras :: FUSP - Fundação de Apoio à Universidade de São Paulo, accessed May 17, 2026, </w:t>
      </w:r>
      <w:hyperlink r:id="rId43">
        <w:r w:rsidDel="00000000" w:rsidR="00000000" w:rsidRPr="00000000">
          <w:rPr>
            <w:rFonts w:ascii="Google Sans" w:cs="Google Sans" w:eastAsia="Google Sans" w:hAnsi="Google Sans"/>
            <w:color w:val="0000ee"/>
            <w:sz w:val="24"/>
            <w:szCs w:val="24"/>
            <w:u w:val="single"/>
            <w:rtl w:val="0"/>
          </w:rPr>
          <w:t xml:space="preserve">https://www.fusp.org.br/transparencia/regulamento-de-compras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positorio.unesp.br/server/api/core/bitstreams/5faf3c4a-acef-404c-b890-063944fbf5de/content" TargetMode="External"/><Relationship Id="rId20" Type="http://schemas.openxmlformats.org/officeDocument/2006/relationships/hyperlink" Target="https://www.tecla.io/blog/toptal-review" TargetMode="External"/><Relationship Id="rId42" Type="http://schemas.openxmlformats.org/officeDocument/2006/relationships/hyperlink" Target="https://contratos.comprasnet.gov.br/gescon/consulta/download-arquivo-contrato/244814" TargetMode="External"/><Relationship Id="rId41" Type="http://schemas.openxmlformats.org/officeDocument/2006/relationships/hyperlink" Target="https://repositorio.ufsc.br/bitstream/handle/123456789/235603/RN_164-2022-CUn_Politica_de_Inovacao_e_Empreendedorismo_UFSC.pdf?sequence=1&amp;isAllowed=y" TargetMode="External"/><Relationship Id="rId22" Type="http://schemas.openxmlformats.org/officeDocument/2006/relationships/hyperlink" Target="https://www.fujb.ufrj.br/wp-content/uploads/2025/10/Tabela-de-bolsas-FUJB_aprovada-na-489a-ROCA.pdf" TargetMode="External"/><Relationship Id="rId21" Type="http://schemas.openxmlformats.org/officeDocument/2006/relationships/hyperlink" Target="https://www.index.dev/blog/llm-developer-hourly-rates" TargetMode="External"/><Relationship Id="rId43" Type="http://schemas.openxmlformats.org/officeDocument/2006/relationships/hyperlink" Target="https://www.fusp.org.br/transparencia/regulamento-de-compras" TargetMode="External"/><Relationship Id="rId24" Type="http://schemas.openxmlformats.org/officeDocument/2006/relationships/hyperlink" Target="https://tesify.pt/bolsa-cnpq-como-conseguir-2026-requisitos-prazos/" TargetMode="External"/><Relationship Id="rId23" Type="http://schemas.openxmlformats.org/officeDocument/2006/relationships/hyperlink" Target="https://fapes.es.gov.br/Media/fapes/Lista%20de%20Arquivos/Valores%20de%20bolsas%20e%20auxilios/TABELA_VALORES_18DEZ13_a_13_05_1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via.ufsc.br/como-o-pesquisador-publico-pode-empreender/" TargetMode="External"/><Relationship Id="rId25" Type="http://schemas.openxmlformats.org/officeDocument/2006/relationships/hyperlink" Target="https://www.bi-kring.nl/component/easytagcloud/293-module/158-machine-learning" TargetMode="External"/><Relationship Id="rId28" Type="http://schemas.openxmlformats.org/officeDocument/2006/relationships/hyperlink" Target="https://www.planalto.gov.br/ccivil_03/_ato2015-2018/2018/decreto/d9283.htm" TargetMode="External"/><Relationship Id="rId27" Type="http://schemas.openxmlformats.org/officeDocument/2006/relationships/hyperlink" Target="https://www.fappr.pr.gov.br/sites/fundacao-araucaria/arquivos_restritos/files/documento/2021-10/contrato_finep.pdf"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fundacaofemar.org.br/portalwordpress/wp-content/uploads/2022/09/M_OPE_002_10ManualdeConvenioseTCrev02.pdf" TargetMode="External"/><Relationship Id="rId7" Type="http://schemas.openxmlformats.org/officeDocument/2006/relationships/image" Target="media/image2.png"/><Relationship Id="rId8" Type="http://schemas.openxmlformats.org/officeDocument/2006/relationships/image" Target="media/image7.png"/><Relationship Id="rId31" Type="http://schemas.openxmlformats.org/officeDocument/2006/relationships/hyperlink" Target="https://www.into.saude.gov.br/images/pdf/pesquisa/NIT/D9283.pdf" TargetMode="External"/><Relationship Id="rId30" Type="http://schemas.openxmlformats.org/officeDocument/2006/relationships/hyperlink" Target="https://premio.finep.gov.br/images/chamadas-publicas/2025/23_12_2025_TC_Regulamento_Rerratificado2.odt" TargetMode="External"/><Relationship Id="rId11" Type="http://schemas.openxmlformats.org/officeDocument/2006/relationships/image" Target="media/image8.png"/><Relationship Id="rId33" Type="http://schemas.openxmlformats.org/officeDocument/2006/relationships/hyperlink" Target="https://febrace.org.br/wp-content/uploads/2021/06/cerimonia_2013_parte2.pdf" TargetMode="External"/><Relationship Id="rId10" Type="http://schemas.openxmlformats.org/officeDocument/2006/relationships/image" Target="media/image3.png"/><Relationship Id="rId32" Type="http://schemas.openxmlformats.org/officeDocument/2006/relationships/hyperlink" Target="https://hirelatam.com/hire-ai-engineer/" TargetMode="External"/><Relationship Id="rId13" Type="http://schemas.openxmlformats.org/officeDocument/2006/relationships/image" Target="media/image6.png"/><Relationship Id="rId35" Type="http://schemas.openxmlformats.org/officeDocument/2006/relationships/hyperlink" Target="https://www.confea.org.br/escola-da-inovacao" TargetMode="External"/><Relationship Id="rId12" Type="http://schemas.openxmlformats.org/officeDocument/2006/relationships/image" Target="media/image1.png"/><Relationship Id="rId34" Type="http://schemas.openxmlformats.org/officeDocument/2006/relationships/hyperlink" Target="https://febrace.org.br/wp-content/uploads/2021/06/cerimonia_2013_parte1.pdf" TargetMode="External"/><Relationship Id="rId15" Type="http://schemas.openxmlformats.org/officeDocument/2006/relationships/hyperlink" Target="https://abhyashsuchi.in/remote-ai-jobs-that-pay-100k-us-uk-canada/" TargetMode="External"/><Relationship Id="rId37" Type="http://schemas.openxmlformats.org/officeDocument/2006/relationships/hyperlink" Target="https://pt.scribd.com/document/355075113/Anais-Milset-Brasil-2013-Pronto-06-05" TargetMode="External"/><Relationship Id="rId14" Type="http://schemas.openxmlformats.org/officeDocument/2006/relationships/hyperlink" Target="https://www.bain.com/contentassets/1c5b651fcdad45a794863d1d6df480b4/bain--company-e-data-hackers---state-of-data-2024.pdf" TargetMode="External"/><Relationship Id="rId36" Type="http://schemas.openxmlformats.org/officeDocument/2006/relationships/hyperlink" Target="https://tv.apple.com/us/episode/charles-cleivin-juliana-mergener-thiago-alves/umc.cmc.7aaw64npuygh7wbzh2tv3mbth?showId=umc.cmc.4659wjxvl4wduld5eqe74rso" TargetMode="External"/><Relationship Id="rId17" Type="http://schemas.openxmlformats.org/officeDocument/2006/relationships/hyperlink" Target="https://www.kaggle.com/datasets/datahackers/state-of-data-brazil-20242025" TargetMode="External"/><Relationship Id="rId39" Type="http://schemas.openxmlformats.org/officeDocument/2006/relationships/hyperlink" Target="https://www.youtube.com/watch?v=Nu0Q0n2kLM4" TargetMode="External"/><Relationship Id="rId16" Type="http://schemas.openxmlformats.org/officeDocument/2006/relationships/hyperlink" Target="https://www.bain.com/pt-br/insights/state-of-data-2025/" TargetMode="External"/><Relationship Id="rId38" Type="http://schemas.openxmlformats.org/officeDocument/2006/relationships/hyperlink" Target="https://globoplay.globo.com/v/5457723/" TargetMode="External"/><Relationship Id="rId19" Type="http://schemas.openxmlformats.org/officeDocument/2006/relationships/hyperlink" Target="https://medium.com/@platform.jobbers.io/how-much-do-freelancers-actually-make-in-2026-i-analyzed-the-data-by-skill-country-and-platform-b079eb194dd5" TargetMode="External"/><Relationship Id="rId18" Type="http://schemas.openxmlformats.org/officeDocument/2006/relationships/hyperlink" Target="https://ascendeducation.com/pt-br/deficit-profissionais-ti-brasil-oportunida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