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28"/>
          <w:szCs w:val="28"/>
        </w:rPr>
        <w:t xml:space="preserve">DOSSIER D'HOSPITALISATION — SOINS INTENSIFS</w:t>
      </w:r>
    </w:p>
    <w:p>
      <w:pPr>
        <w:spacing w:after="200" w:before="0"/>
        <w:jc w:val="center"/>
      </w:pPr>
      <w:r>
        <w:rPr>
          <w:rFonts w:ascii="Arial" w:cs="Arial" w:eastAsia="Arial" w:hAnsi="Arial"/>
          <w:color w:val="555555"/>
          <w:sz w:val="20"/>
          <w:szCs w:val="20"/>
        </w:rPr>
        <w:t xml:space="preserve">Hôpital Universitaire de Bruxelles (H.U.B.) — Service de Soins Intensifs</w:t>
      </w:r>
    </w:p>
    <w:p>
      <w:pPr>
        <w:pBdr>
          <w:bottom w:val="single" w:color="999999" w:sz="4"/>
        </w:pBdr>
        <w:spacing w:after="120" w:before="120"/>
      </w:pPr>
    </w:p>
    <w:p>
      <w:pPr>
        <w:spacing w:after="60" w:before="60"/>
      </w:pPr>
      <w:r>
        <w:rPr>
          <w:rFonts w:ascii="Arial" w:cs="Arial" w:eastAsia="Arial" w:hAnsi="Arial"/>
          <w:b/>
          <w:bCs/>
          <w:sz w:val="22"/>
          <w:szCs w:val="22"/>
        </w:rPr>
        <w:t xml:space="preserve">Patiente : </w:t>
      </w:r>
      <w:r>
        <w:rPr>
          <w:rFonts w:ascii="Arial" w:cs="Arial" w:eastAsia="Arial" w:hAnsi="Arial"/>
          <w:sz w:val="22"/>
          <w:szCs w:val="22"/>
        </w:rPr>
        <w:t xml:space="preserve">Mme OKAWA — née le 06/08/1968 (57 ans)</w:t>
      </w:r>
    </w:p>
    <w:p>
      <w:pPr>
        <w:spacing w:after="60" w:before="60"/>
      </w:pPr>
      <w:r>
        <w:rPr>
          <w:rFonts w:ascii="Arial" w:cs="Arial" w:eastAsia="Arial" w:hAnsi="Arial"/>
          <w:b/>
          <w:bCs/>
          <w:sz w:val="22"/>
          <w:szCs w:val="22"/>
        </w:rPr>
        <w:t xml:space="preserve">Date d'admission aux USI : </w:t>
      </w:r>
      <w:r>
        <w:rPr>
          <w:rFonts w:ascii="Arial" w:cs="Arial" w:eastAsia="Arial" w:hAnsi="Arial"/>
          <w:sz w:val="22"/>
          <w:szCs w:val="22"/>
        </w:rPr>
        <w:t xml:space="preserve">1er décembre 2025</w:t>
      </w:r>
    </w:p>
    <w:p>
      <w:pPr>
        <w:spacing w:after="60" w:before="60"/>
      </w:pPr>
      <w:r>
        <w:rPr>
          <w:rFonts w:ascii="Arial" w:cs="Arial" w:eastAsia="Arial" w:hAnsi="Arial"/>
          <w:b/>
          <w:bCs/>
          <w:sz w:val="22"/>
          <w:szCs w:val="22"/>
        </w:rPr>
        <w:t xml:space="preserve">Date de sortie des USI : </w:t>
      </w:r>
      <w:r>
        <w:rPr>
          <w:rFonts w:ascii="Arial" w:cs="Arial" w:eastAsia="Arial" w:hAnsi="Arial"/>
          <w:sz w:val="22"/>
          <w:szCs w:val="22"/>
        </w:rPr>
        <w:t xml:space="preserve">26 décembre 2025 (J27)</w:t>
      </w:r>
    </w:p>
    <w:p>
      <w:pPr>
        <w:spacing w:after="60" w:before="60"/>
      </w:pPr>
      <w:r>
        <w:rPr>
          <w:rFonts w:ascii="Arial" w:cs="Arial" w:eastAsia="Arial" w:hAnsi="Arial"/>
          <w:b/>
          <w:bCs/>
          <w:sz w:val="22"/>
          <w:szCs w:val="22"/>
        </w:rPr>
        <w:t xml:space="preserve">Diagnostic principal : </w:t>
      </w:r>
      <w:r>
        <w:rPr>
          <w:rFonts w:ascii="Arial" w:cs="Arial" w:eastAsia="Arial" w:hAnsi="Arial"/>
          <w:sz w:val="22"/>
          <w:szCs w:val="22"/>
        </w:rPr>
        <w:t xml:space="preserve">Hémorragie sous-arachnoïdienne (HSA) mFischer IV / WFNS 1 sur rupture d'anévrisme de l'artère carotide interne gauche (CIG)</w:t>
      </w:r>
    </w:p>
    <w:p>
      <w:pPr>
        <w:spacing w:after="60" w:before="60"/>
      </w:pPr>
      <w:r>
        <w:rPr>
          <w:rFonts w:ascii="Arial" w:cs="Arial" w:eastAsia="Arial" w:hAnsi="Arial"/>
          <w:b/>
          <w:bCs/>
          <w:sz w:val="22"/>
          <w:szCs w:val="22"/>
        </w:rPr>
        <w:t xml:space="preserve">Médecin responsable : </w:t>
      </w:r>
      <w:r>
        <w:rPr>
          <w:rFonts w:ascii="Arial" w:cs="Arial" w:eastAsia="Arial" w:hAnsi="Arial"/>
          <w:sz w:val="22"/>
          <w:szCs w:val="22"/>
        </w:rPr>
        <w:t xml:space="preserve">Pr Fabio Taccone (Chef de Service)</w:t>
      </w:r>
    </w:p>
    <w:p>
      <w:pPr>
        <w:pBdr>
          <w:bottom w:val="single" w:color="999999" w:sz="4"/>
        </w:pBdr>
        <w:spacing w:after="120" w:before="120"/>
      </w:pPr>
    </w:p>
    <w:p>
      <w:pPr>
        <w:pStyle w:val="Heading1"/>
        <w:spacing w:after="160" w:before="240"/>
      </w:pPr>
      <w:r>
        <w:rPr>
          <w:rFonts w:ascii="Arial" w:cs="Arial" w:eastAsia="Arial" w:hAnsi="Arial"/>
          <w:b/>
          <w:bCs/>
          <w:sz w:val="28"/>
          <w:szCs w:val="28"/>
        </w:rPr>
        <w:t xml:space="preserve">ÉVOLUTION CLINIQUE</w:t>
      </w:r>
    </w:p>
    <w:p>
      <w:pPr>
        <w:pStyle w:val="Heading2"/>
        <w:spacing w:after="80" w:before="200"/>
      </w:pPr>
      <w:r>
        <w:rPr>
          <w:rFonts w:ascii="Arial" w:cs="Arial" w:eastAsia="Arial" w:hAnsi="Arial"/>
          <w:b/>
          <w:bCs/>
          <w:sz w:val="24"/>
          <w:szCs w:val="24"/>
        </w:rPr>
        <w:t xml:space="preserve">Admission — 1er décembre 2025 (J1)</w:t>
      </w:r>
    </w:p>
    <w:p>
      <w:pPr>
        <w:spacing w:after="60" w:before="60"/>
      </w:pPr>
      <w:r>
        <w:rPr>
          <w:rFonts w:ascii="Arial" w:cs="Arial" w:eastAsia="Arial" w:hAnsi="Arial"/>
          <w:sz w:val="22"/>
          <w:szCs w:val="22"/>
        </w:rPr>
        <w:t xml:space="preserve">Madame OKAWA, 57 ans, de nationalité japonaise (barrière linguistique totale), est transférée depuis l'hôpital Delta suite à l'apparition brutale de céphalées intenses, de vomissements et d'une photophobie évoluant depuis 3 heures. À l'admission à Delta, la PAM était à 110 mmHg, motivant un traitement par Rydène IVSE, et le GCS était coté à 14-15/15.</w:t>
      </w:r>
    </w:p>
    <w:p>
      <w:pPr>
        <w:spacing w:after="60" w:before="60"/>
      </w:pPr>
      <w:r>
        <w:rPr>
          <w:rFonts w:ascii="Arial" w:cs="Arial" w:eastAsia="Arial" w:hAnsi="Arial"/>
          <w:sz w:val="22"/>
          <w:szCs w:val="22"/>
        </w:rPr>
        <w:t xml:space="preserve">Le bilan d'imagerie (angio-CT cérébral) objectivait une hémorragie sous-arachnoïdienne de grade IV selon Fisher, avec inondation prédominant au niveau de la citerne prépontique, des vallées sylviennes et des 3e et 4e ventricules. Un anévrisme de la portion cérébrale de l'ACI gauche de 5 x 5,4 mm avec collet estimé à 4 mm était identifié comme lésion causale. Une vasoconstriction réactionnelle centrée sur le siphon carotidien droit était également relevée.</w:t>
      </w:r>
    </w:p>
    <w:p>
      <w:pPr>
        <w:spacing w:after="60" w:before="60"/>
      </w:pPr>
      <w:r>
        <w:rPr>
          <w:rFonts w:ascii="Arial" w:cs="Arial" w:eastAsia="Arial" w:hAnsi="Arial"/>
          <w:sz w:val="22"/>
          <w:szCs w:val="22"/>
        </w:rPr>
        <w:t xml:space="preserve">Dès l'admission à Erasme, une prophylaxie anticonvulsivante par lévétiracétam et un traitement vasoprotecteur par nimodipine orale étaient débutés. La décision collégiale optait pour une prise en charge endovasculaire en urgence, réalisée par Dr Docquier et Dr Bonnet (Neuroradiologie Interventionnelle) : embolisation par 12 coils assistée par ballon d'expansion (ballon Eclipse) avec résultat angiographique satisfaisant et absence de complication procédurale. Un complément par stent était d'ores et déjà discuté à 2-3 semaines selon l'évolution clinique.</w:t>
      </w:r>
    </w:p>
    <w:p>
      <w:pPr>
        <w:spacing w:after="60" w:before="60"/>
      </w:pPr>
      <w:r>
        <w:rPr>
          <w:rFonts w:ascii="Arial" w:cs="Arial" w:eastAsia="Arial" w:hAnsi="Arial"/>
          <w:sz w:val="22"/>
          <w:szCs w:val="22"/>
        </w:rPr>
        <w:t xml:space="preserve">Dans les heures suivant l'admission, une dégradation neurologique franche était constatée (GCS passant de 14 à 9/15), motivant l'intubation oro-trachéale et la mise en place d'un monitoring cérébral multimodal au bloc opératoire : dérivation ventriculaire externe (DVE) en frontal droit, drainage lombaire externe (DLE), EEG continu de surface (EEGc), Licox et microdialyse en frontal gauche. L'EEGc (J2) ne montrait pas de phénomène épileptique.</w:t>
      </w:r>
    </w:p>
    <w:p>
      <w:pPr>
        <w:pStyle w:val="Heading2"/>
        <w:spacing w:after="80" w:before="200"/>
      </w:pPr>
      <w:r>
        <w:rPr>
          <w:rFonts w:ascii="Arial" w:cs="Arial" w:eastAsia="Arial" w:hAnsi="Arial"/>
          <w:b/>
          <w:bCs/>
          <w:sz w:val="24"/>
          <w:szCs w:val="24"/>
        </w:rPr>
        <w:t xml:space="preserve">Phase initiale de monitorage — J2 au J5 (2 au 5 décembre)</w:t>
      </w:r>
    </w:p>
    <w:p>
      <w:pPr>
        <w:spacing w:after="60" w:before="60"/>
      </w:pPr>
      <w:r>
        <w:rPr>
          <w:rFonts w:ascii="Arial" w:cs="Arial" w:eastAsia="Arial" w:hAnsi="Arial"/>
          <w:sz w:val="22"/>
          <w:szCs w:val="22"/>
        </w:rPr>
        <w:t xml:space="preserve">La patiente était maintenue sous sédation profonde (propofol + sufentanyl, RASS entre -4 et -5) avec contrôle strict des ACSOS. La DVE drainait un volume liquidien important (150 à 218 mL/j), complété par un drainage DLE de 10 mL/2h. L'EEGc montrait une amélioration progressive du tracé, sans épilepsie ni latéralisation franche. La PbtO2 restait fluctuante, imposant des ajustements répétés des cibles d'oxygénation et d'hémodynamique. Les essais de réveil se heurtaient à une agitation avec morsure de sonde, engendrant des épisodes d'hypoxémie et d'hyperventilation.</w:t>
      </w:r>
    </w:p>
    <w:p>
      <w:pPr>
        <w:pStyle w:val="Heading2"/>
        <w:spacing w:after="80" w:before="200"/>
      </w:pPr>
      <w:r>
        <w:rPr>
          <w:rFonts w:ascii="Arial" w:cs="Arial" w:eastAsia="Arial" w:hAnsi="Arial"/>
          <w:b/>
          <w:bCs/>
          <w:sz w:val="24"/>
          <w:szCs w:val="24"/>
        </w:rPr>
        <w:t xml:space="preserve">Vasospasme et angioplasties itératives — J6 au J13 (6 au 13 décembre)</w:t>
      </w:r>
    </w:p>
    <w:p>
      <w:pPr>
        <w:spacing w:after="60" w:before="60"/>
      </w:pPr>
      <w:r>
        <w:rPr>
          <w:rFonts w:ascii="Arial" w:cs="Arial" w:eastAsia="Arial" w:hAnsi="Arial"/>
          <w:sz w:val="22"/>
          <w:szCs w:val="22"/>
        </w:rPr>
        <w:t xml:space="preserve">La première dégradation hémodynamique cérébrale cliniquement significative survenait dans la nuit du 5 au 6 décembre, avec chute de la PbtO2 à 14 mmHg et modification du tableau angiographique : l'angio-CT de perfusion objectivait une sténose M1 droite avec début d'hypoperfusion jonctionnelle gauche. Une milrinone (Corotrope) était instaurée pour optimiser le débit cardiaque (cible IC &gt; 4,5). La 1ère artériographie cérébrale avec angioplastie chimique était réalisée le 6 décembre (Dr Docquier) : vasospasme sylvien bilatéral M1-M2 traité par 2 mg de corotrope + 6 mg de nimotop intra-artériel, avec bon résultat angiographique. Au retour, une instabilité hémodynamique avec tachycardie à 150/min était constatée, et la DVE se révélait obstruée nécessitant deux administrations d'Actilyse (1 mg chacune), puis purge par l'équipe neurochirurgicale, permettant de récupérer un drainage et une courbe de PIC fiables.</w:t>
      </w:r>
    </w:p>
    <w:p>
      <w:pPr>
        <w:spacing w:after="60" w:before="60"/>
      </w:pPr>
      <w:r>
        <w:rPr>
          <w:rFonts w:ascii="Arial" w:cs="Arial" w:eastAsia="Arial" w:hAnsi="Arial"/>
          <w:sz w:val="22"/>
          <w:szCs w:val="22"/>
        </w:rPr>
        <w:t xml:space="preserve">Face à la persistance d'une PbtO2 fluctuante, cinq artériographies avec angioplasties chimiques (et une angioplastie mécanique) étaient réalisées au total au cours de ce séjour :</w:t>
      </w:r>
    </w:p>
    <w:p>
      <w:pPr>
        <w:pStyle w:val="ListParagraph"/>
        <w:numPr>
          <w:ilvl w:val="0"/>
          <w:numId w:val="2"/>
        </w:numPr>
        <w:spacing w:after="40" w:before="40"/>
      </w:pPr>
      <w:r>
        <w:rPr>
          <w:rFonts w:ascii="Arial" w:cs="Arial" w:eastAsia="Arial" w:hAnsi="Arial"/>
          <w:sz w:val="22"/>
          <w:szCs w:val="22"/>
        </w:rPr>
        <w:t xml:space="preserve">6/12 : vasospasme sylvien bilatéral M1-M2 — corotrope 2 mg + nimotop 6 mg (Dr Docquier)</w:t>
      </w:r>
    </w:p>
    <w:p>
      <w:pPr>
        <w:pStyle w:val="ListParagraph"/>
        <w:numPr>
          <w:ilvl w:val="0"/>
          <w:numId w:val="2"/>
        </w:numPr>
        <w:spacing w:after="40" w:before="40"/>
      </w:pPr>
      <w:r>
        <w:rPr>
          <w:rFonts w:ascii="Arial" w:cs="Arial" w:eastAsia="Arial" w:hAnsi="Arial"/>
          <w:sz w:val="22"/>
          <w:szCs w:val="22"/>
        </w:rPr>
        <w:t xml:space="preserve">8/12 : vasospasme modéré ACM bilatéral — nimotop 3 mg (Dr Bonnet)</w:t>
      </w:r>
    </w:p>
    <w:p>
      <w:pPr>
        <w:pStyle w:val="ListParagraph"/>
        <w:numPr>
          <w:ilvl w:val="0"/>
          <w:numId w:val="2"/>
        </w:numPr>
        <w:spacing w:after="40" w:before="40"/>
      </w:pPr>
      <w:r>
        <w:rPr>
          <w:rFonts w:ascii="Arial" w:cs="Arial" w:eastAsia="Arial" w:hAnsi="Arial"/>
          <w:sz w:val="22"/>
          <w:szCs w:val="22"/>
        </w:rPr>
        <w:t xml:space="preserve">9/12 : vasospasme modéré M1/A1/T carotidien bilatéral — nimotop 6 mg (Dr Guenego)</w:t>
      </w:r>
    </w:p>
    <w:p>
      <w:pPr>
        <w:pStyle w:val="ListParagraph"/>
        <w:numPr>
          <w:ilvl w:val="0"/>
          <w:numId w:val="2"/>
        </w:numPr>
        <w:spacing w:after="40" w:before="40"/>
      </w:pPr>
      <w:r>
        <w:rPr>
          <w:rFonts w:ascii="Arial" w:cs="Arial" w:eastAsia="Arial" w:hAnsi="Arial"/>
          <w:sz w:val="22"/>
          <w:szCs w:val="22"/>
        </w:rPr>
        <w:t xml:space="preserve">11/12 : vasospasme sylvien gauche discret — nimotop 6 mg (Dr Docquier/Boudiba)</w:t>
      </w:r>
    </w:p>
    <w:p>
      <w:pPr>
        <w:pStyle w:val="ListParagraph"/>
        <w:numPr>
          <w:ilvl w:val="0"/>
          <w:numId w:val="2"/>
        </w:numPr>
        <w:spacing w:after="40" w:before="40"/>
      </w:pPr>
      <w:r>
        <w:rPr>
          <w:rFonts w:ascii="Arial" w:cs="Arial" w:eastAsia="Arial" w:hAnsi="Arial"/>
          <w:sz w:val="22"/>
          <w:szCs w:val="22"/>
        </w:rPr>
        <w:t xml:space="preserve">13/12 : vasospasme modéré M1/A1 bilatéral — nimotop 7 mg + thrombectomie mécanique (stent retriever APERIO 4,5 x 40 mm en M1M2 gauche) (Dr Guenego) — bon résultat angiographique sans complication</w:t>
      </w:r>
    </w:p>
    <w:p>
      <w:pPr>
        <w:spacing w:after="60" w:before="60"/>
      </w:pPr>
      <w:r>
        <w:rPr>
          <w:rFonts w:ascii="Arial" w:cs="Arial" w:eastAsia="Arial" w:hAnsi="Arial"/>
          <w:sz w:val="22"/>
          <w:szCs w:val="22"/>
        </w:rPr>
        <w:t xml:space="preserve">L'ensemble des procédures se déroulait sans complication per-procédurale.</w:t>
      </w:r>
    </w:p>
    <w:p>
      <w:pPr>
        <w:spacing w:after="60" w:before="60"/>
      </w:pPr>
      <w:r>
        <w:rPr>
          <w:rFonts w:ascii="Arial" w:cs="Arial" w:eastAsia="Arial" w:hAnsi="Arial"/>
          <w:sz w:val="22"/>
          <w:szCs w:val="22"/>
        </w:rPr>
        <w:t xml:space="preserve">Le 12 décembre, une obstruction de la DVE non résolue par les neurochirurgiens imposait son remplacement chirurgical (Dr Spitaels). Concomitamment, une dégradation respiratoire sévère secondaire à un encombrement bronchique massif et à une dysfonction du ballonnet de la sonde d'intubation nécessitait le remplacement de celle-ci et une fibroscopie bronchique de nettoyage (extraction de bouchons muqueux).</w:t>
      </w:r>
    </w:p>
    <w:p>
      <w:pPr>
        <w:pStyle w:val="Heading2"/>
        <w:spacing w:after="80" w:before="200"/>
      </w:pPr>
      <w:r>
        <w:rPr>
          <w:rFonts w:ascii="Arial" w:cs="Arial" w:eastAsia="Arial" w:hAnsi="Arial"/>
          <w:b/>
          <w:bCs/>
          <w:sz w:val="24"/>
          <w:szCs w:val="24"/>
        </w:rPr>
        <w:t xml:space="preserve">Pneumonie acquise sous ventilation mécanique (VAP) — à partir du 9 décembre</w:t>
      </w:r>
    </w:p>
    <w:p>
      <w:pPr>
        <w:spacing w:after="60" w:before="60"/>
      </w:pPr>
      <w:r>
        <w:rPr>
          <w:rFonts w:ascii="Arial" w:cs="Arial" w:eastAsia="Arial" w:hAnsi="Arial"/>
          <w:sz w:val="22"/>
          <w:szCs w:val="22"/>
        </w:rPr>
        <w:t xml:space="preserve">Dès le 7 décembre, des expectorations purulentes motivaient une fibroscopie bronchique et un lavage broncho-alvéolaire (LBA). La documentation microbiologique révélait :</w:t>
      </w:r>
    </w:p>
    <w:p>
      <w:pPr>
        <w:pStyle w:val="ListParagraph"/>
        <w:numPr>
          <w:ilvl w:val="0"/>
          <w:numId w:val="2"/>
        </w:numPr>
        <w:spacing w:after="40" w:before="40"/>
      </w:pPr>
      <w:r>
        <w:rPr>
          <w:rFonts w:ascii="Arial" w:cs="Arial" w:eastAsia="Arial" w:hAnsi="Arial"/>
          <w:sz w:val="22"/>
          <w:szCs w:val="22"/>
        </w:rPr>
        <w:t xml:space="preserve">LBA du 7/12 : Citrobacter koseri (75 000 colonies)</w:t>
      </w:r>
    </w:p>
    <w:p>
      <w:pPr>
        <w:pStyle w:val="ListParagraph"/>
        <w:numPr>
          <w:ilvl w:val="0"/>
          <w:numId w:val="2"/>
        </w:numPr>
        <w:spacing w:after="40" w:before="40"/>
      </w:pPr>
      <w:r>
        <w:rPr>
          <w:rFonts w:ascii="Arial" w:cs="Arial" w:eastAsia="Arial" w:hAnsi="Arial"/>
          <w:sz w:val="22"/>
          <w:szCs w:val="22"/>
        </w:rPr>
        <w:t xml:space="preserve">Aspiration endo-trachéale : Citrobacter koseri / Serratia marcescens / Streptococcus pneumoniae</w:t>
      </w:r>
    </w:p>
    <w:p>
      <w:pPr>
        <w:pStyle w:val="ListParagraph"/>
        <w:numPr>
          <w:ilvl w:val="0"/>
          <w:numId w:val="2"/>
        </w:numPr>
        <w:spacing w:after="40" w:before="40"/>
      </w:pPr>
      <w:r>
        <w:rPr>
          <w:rFonts w:ascii="Arial" w:cs="Arial" w:eastAsia="Arial" w:hAnsi="Arial"/>
          <w:sz w:val="22"/>
          <w:szCs w:val="22"/>
        </w:rPr>
        <w:t xml:space="preserve">LBA du 18/12 : Serratia marcescens + Streptococcus pneumoniae</w:t>
      </w:r>
    </w:p>
    <w:p>
      <w:pPr>
        <w:spacing w:after="60" w:before="60"/>
      </w:pPr>
      <w:r>
        <w:rPr>
          <w:rFonts w:ascii="Arial" w:cs="Arial" w:eastAsia="Arial" w:hAnsi="Arial"/>
          <w:sz w:val="22"/>
          <w:szCs w:val="22"/>
        </w:rPr>
        <w:t xml:space="preserve">Une antibiothérapie par pipéracilline-tazobactam était instaurée le 9 décembre, pour une durée de 7 jours (arrêtée le 16 décembre). L'évolution respiratoire était favorable sur le plan microbiologique, quoique l'encombrement persistait. La curarisation (Esmeron puis Nimbex) était maintenue plusieurs jours dans ce contexte de gestion complexe simultanée de la PbtO2 et de la mécanique ventilatoire. Un suivi infectiologique confirmait l'absence d'indication à une nouvelle antibiothérapie en dehors des critères VAP stricts (patiente incluse dans l'étude PROACT).</w:t>
      </w:r>
    </w:p>
    <w:p>
      <w:pPr>
        <w:pStyle w:val="Heading2"/>
        <w:spacing w:after="80" w:before="200"/>
      </w:pPr>
      <w:r>
        <w:rPr>
          <w:rFonts w:ascii="Arial" w:cs="Arial" w:eastAsia="Arial" w:hAnsi="Arial"/>
          <w:b/>
          <w:bCs/>
          <w:sz w:val="24"/>
          <w:szCs w:val="24"/>
        </w:rPr>
        <w:t xml:space="preserve">Anasarque — à partir de début décembre</w:t>
      </w:r>
    </w:p>
    <w:p>
      <w:pPr>
        <w:spacing w:after="60" w:before="60"/>
      </w:pPr>
      <w:r>
        <w:rPr>
          <w:rFonts w:ascii="Arial" w:cs="Arial" w:eastAsia="Arial" w:hAnsi="Arial"/>
          <w:sz w:val="22"/>
          <w:szCs w:val="22"/>
        </w:rPr>
        <w:t xml:space="preserve">Un syndrome d'anasarque sévère se développait au cours de la première semaine (prise de poids de 64,5 kg à l'entrée jusqu'à 77 kg au pic), expliqué par la précharge-dépendance liée aux besoins hémodynamiques cérébraux. Une fois la stabilité cérébrale et hémodynamique atteinte, un traitement déplétif par furosémide IV était introduit avec bonne réponse diurétique (jusqu'à 3000-4000 mL/j).</w:t>
      </w:r>
    </w:p>
    <w:p>
      <w:pPr>
        <w:pStyle w:val="Heading2"/>
        <w:spacing w:after="80" w:before="200"/>
      </w:pPr>
      <w:r>
        <w:rPr>
          <w:rFonts w:ascii="Arial" w:cs="Arial" w:eastAsia="Arial" w:hAnsi="Arial"/>
          <w:b/>
          <w:bCs/>
          <w:sz w:val="24"/>
          <w:szCs w:val="24"/>
        </w:rPr>
        <w:t xml:space="preserve">Sortie de phase DCI et sevrage — J19 au J23 (19 au 23 décembre)</w:t>
      </w:r>
    </w:p>
    <w:p>
      <w:pPr>
        <w:spacing w:after="60" w:before="60"/>
      </w:pPr>
      <w:r>
        <w:rPr>
          <w:rFonts w:ascii="Arial" w:cs="Arial" w:eastAsia="Arial" w:hAnsi="Arial"/>
          <w:sz w:val="22"/>
          <w:szCs w:val="22"/>
        </w:rPr>
        <w:t xml:space="preserve">À partir du 19 décembre, la patiente était considérée comme sortie de sa phase d'ischémie cérébrale différée (DCI). Les sédations étaient progressivement levées sous couvert de clonidine (Catapressan) IVSE. Le monitoring multimodal (Licox, microdialyse, EEGc) était retiré. La corticothérapie par méthylprednisolone (1 mg/kg/j, débutée le 15/12 pour une semaine), les statines (80 mg/j) et le Dantrium (2,5 mg/kg) étaient instaurés dans le cadre de la gestion de la spasticité et de la neuropronostication.</w:t>
      </w:r>
    </w:p>
    <w:p>
      <w:pPr>
        <w:spacing w:after="60" w:before="60"/>
      </w:pPr>
      <w:r>
        <w:rPr>
          <w:rFonts w:ascii="Arial" w:cs="Arial" w:eastAsia="Arial" w:hAnsi="Arial"/>
          <w:sz w:val="22"/>
          <w:szCs w:val="22"/>
        </w:rPr>
        <w:t xml:space="preserve">Le 23 décembre, une extubation était réalisée avec succès sous oxygène haut débit nasal (HFONC, FiO2 30%), permettant d'éviter la trachéotomie percutanée initialement discutée. La DVE était retirée le 24 décembre (index de Evans suivi à 0,32 sans aggravation clinique) et les différents cathéters étaient envoyés en bactériologie. Les amines vasoactives étaient sevrées.</w:t>
      </w:r>
    </w:p>
    <w:p>
      <w:pPr>
        <w:spacing w:after="60" w:before="60"/>
      </w:pPr>
      <w:r>
        <w:rPr>
          <w:rFonts w:ascii="Arial" w:cs="Arial" w:eastAsia="Arial" w:hAnsi="Arial"/>
          <w:sz w:val="22"/>
          <w:szCs w:val="22"/>
        </w:rPr>
        <w:t xml:space="preserve">Sur le plan neurologique à ce stade : la patiente était éveillée, consciente, avec compréhension des ordres simples. L'évaluation restait néanmoins limitée par la barrière linguistique japonaise (patiente répondant systématiquement "oui" à toute sollicitation). On notait une tétraparésie marquée avec tonus axial défaillant, mais des réflexes de toux et nauséeux présents et fonctionnels.</w:t>
      </w:r>
    </w:p>
    <w:p>
      <w:pPr>
        <w:pStyle w:val="Heading2"/>
        <w:spacing w:after="80" w:before="200"/>
      </w:pPr>
      <w:r>
        <w:rPr>
          <w:rFonts w:ascii="Arial" w:cs="Arial" w:eastAsia="Arial" w:hAnsi="Arial"/>
          <w:b/>
          <w:bCs/>
          <w:sz w:val="24"/>
          <w:szCs w:val="24"/>
        </w:rPr>
        <w:t xml:space="preserve">Évolution tardive et transfert — J25 au J27 (25 au 26 décembre)</w:t>
      </w:r>
    </w:p>
    <w:p>
      <w:pPr>
        <w:spacing w:after="60" w:before="60"/>
      </w:pPr>
      <w:r>
        <w:rPr>
          <w:rFonts w:ascii="Arial" w:cs="Arial" w:eastAsia="Arial" w:hAnsi="Arial"/>
          <w:sz w:val="22"/>
          <w:szCs w:val="22"/>
        </w:rPr>
        <w:t xml:space="preserve">En fin de séjour, la patiente maintenait une saturation à 97% en air ambiant, une alimentation entérale tolérée, une diurèse correcte sous furosémide. Une cholestase hépatique, présente depuis l'admission, restait stable et anictérique. Une pyrexie persistante, vraisemblablement d'origine centrale, était constatée malgré des bilans infectieux (prélèvements biologiques et bactériologiques) négatifs.</w:t>
      </w:r>
    </w:p>
    <w:p>
      <w:pPr>
        <w:spacing w:after="60" w:before="60"/>
      </w:pPr>
      <w:r>
        <w:rPr>
          <w:rFonts w:ascii="Arial" w:cs="Arial" w:eastAsia="Arial" w:hAnsi="Arial"/>
          <w:sz w:val="22"/>
          <w:szCs w:val="22"/>
        </w:rPr>
        <w:t xml:space="preserve">Le 26 décembre (J27), une légère dégradation neurologique matinale motivait la réalisation d'un scanner cérébral de contrôle, montrant des lésions stables sans nouvelle complication. La fluctuation neurologique observée était attribuée à un état clinique encore variable. Face à un besoin urgent de place en USI, la décision était prise de transférer la patiente en chambre de stroke, avec passage prévu de 24 heures avant orientation vers un lit d'aval. Au moment du transfert, la patiente était décrite comme mutique et tétraparétique, mais stable sur le plan hémodynamique.</w:t>
      </w:r>
    </w:p>
    <w:p>
      <w:pPr>
        <w:pBdr>
          <w:bottom w:val="single" w:color="999999" w:sz="4"/>
        </w:pBdr>
        <w:spacing w:after="120" w:before="120"/>
      </w:pPr>
    </w:p>
    <w:p>
      <w:pPr>
        <w:pStyle w:val="Heading1"/>
        <w:spacing w:after="160" w:before="240"/>
      </w:pPr>
      <w:r>
        <w:rPr>
          <w:rFonts w:ascii="Arial" w:cs="Arial" w:eastAsia="Arial" w:hAnsi="Arial"/>
          <w:b/>
          <w:bCs/>
          <w:sz w:val="28"/>
          <w:szCs w:val="28"/>
        </w:rPr>
        <w:t xml:space="preserve">CONCLUSION</w:t>
      </w:r>
    </w:p>
    <w:p>
      <w:pPr>
        <w:spacing w:after="60" w:before="60"/>
      </w:pPr>
      <w:r>
        <w:rPr>
          <w:rFonts w:ascii="Arial" w:cs="Arial" w:eastAsia="Arial" w:hAnsi="Arial"/>
          <w:sz w:val="22"/>
          <w:szCs w:val="22"/>
        </w:rPr>
        <w:t xml:space="preserve">Madame OKAWA a été hospitalisée 27 jours aux Soins Intensifs de l'H.U.B. pour une hémorragie sous-arachnoïdienne de grade IV selon Fisher (WFNS 1) sur rupture d'un anévrisme de l'artère carotide interne gauche, traité par embolisation endovasculaire (12 coils) en urgence le jour de l'admission. Le séjour a été marqué par de nombreuses complications :</w:t>
      </w:r>
    </w:p>
    <w:p>
      <w:pPr>
        <w:pStyle w:val="ListParagraph"/>
        <w:numPr>
          <w:ilvl w:val="0"/>
          <w:numId w:val="2"/>
        </w:numPr>
        <w:spacing w:after="40" w:before="40"/>
      </w:pPr>
      <w:r>
        <w:rPr>
          <w:rFonts w:ascii="Arial" w:cs="Arial" w:eastAsia="Arial" w:hAnsi="Arial"/>
          <w:sz w:val="22"/>
          <w:szCs w:val="22"/>
        </w:rPr>
        <w:t xml:space="preserve">Hydrocéphalie aiguë ayant nécessité une DVE avec monitoring multimodal cérébral, remplacement chirurgical de la DVE à J12 ;</w:t>
      </w:r>
    </w:p>
    <w:p>
      <w:pPr>
        <w:pStyle w:val="ListParagraph"/>
        <w:numPr>
          <w:ilvl w:val="0"/>
          <w:numId w:val="2"/>
        </w:numPr>
        <w:spacing w:after="40" w:before="40"/>
      </w:pPr>
      <w:r>
        <w:rPr>
          <w:rFonts w:ascii="Arial" w:cs="Arial" w:eastAsia="Arial" w:hAnsi="Arial"/>
          <w:sz w:val="22"/>
          <w:szCs w:val="22"/>
        </w:rPr>
        <w:t xml:space="preserve">Phase de DCI prolongée avec multiples épisodes de vasospasme documentés radiologiquement, ayant nécessité cinq procédures d'angioplastie cérébrale chimique (nimodipine intra-artérielle), dont une avec thrombectomie mécanique ;</w:t>
      </w:r>
    </w:p>
    <w:p>
      <w:pPr>
        <w:pStyle w:val="ListParagraph"/>
        <w:numPr>
          <w:ilvl w:val="0"/>
          <w:numId w:val="2"/>
        </w:numPr>
        <w:spacing w:after="40" w:before="40"/>
      </w:pPr>
      <w:r>
        <w:rPr>
          <w:rFonts w:ascii="Arial" w:cs="Arial" w:eastAsia="Arial" w:hAnsi="Arial"/>
          <w:sz w:val="22"/>
          <w:szCs w:val="22"/>
        </w:rPr>
        <w:t xml:space="preserve">VAP à germes multiples (Citrobacter koseri, Serratia marcescens, Streptococcus pneumoniae), traitée par pipéracilline-tazobactam 7 jours avec évolution favorable ;</w:t>
      </w:r>
    </w:p>
    <w:p>
      <w:pPr>
        <w:pStyle w:val="ListParagraph"/>
        <w:numPr>
          <w:ilvl w:val="0"/>
          <w:numId w:val="2"/>
        </w:numPr>
        <w:spacing w:after="40" w:before="40"/>
      </w:pPr>
      <w:r>
        <w:rPr>
          <w:rFonts w:ascii="Arial" w:cs="Arial" w:eastAsia="Arial" w:hAnsi="Arial"/>
          <w:sz w:val="22"/>
          <w:szCs w:val="22"/>
        </w:rPr>
        <w:t xml:space="preserve">Anasarque sévère (+ 12,5 kg), secondaire aux besoins hémodynamiques cérébraux, résolu sous traitement déplétif ;</w:t>
      </w:r>
    </w:p>
    <w:p>
      <w:pPr>
        <w:pStyle w:val="ListParagraph"/>
        <w:numPr>
          <w:ilvl w:val="0"/>
          <w:numId w:val="2"/>
        </w:numPr>
        <w:spacing w:after="40" w:before="40"/>
      </w:pPr>
      <w:r>
        <w:rPr>
          <w:rFonts w:ascii="Arial" w:cs="Arial" w:eastAsia="Arial" w:hAnsi="Arial"/>
          <w:sz w:val="22"/>
          <w:szCs w:val="22"/>
        </w:rPr>
        <w:t xml:space="preserve">Cholestase hépatique persistante depuis l'admission, stable et anictérique.</w:t>
      </w:r>
    </w:p>
    <w:p>
      <w:pPr>
        <w:spacing w:after="60" w:before="60"/>
      </w:pPr>
      <w:r>
        <w:rPr>
          <w:rFonts w:ascii="Arial" w:cs="Arial" w:eastAsia="Arial" w:hAnsi="Arial"/>
          <w:sz w:val="22"/>
          <w:szCs w:val="22"/>
        </w:rPr>
        <w:t xml:space="preserve">L'évolution neurologique a été globalement favorable malgré la gravité initiale : extubation réussie le 23 décembre, retrait de la DVE le 24 décembre, sevrage des amines vasoactives. La patiente était consciente et éveillée à la sortie des USI, avec néanmoins une tétraparésie marquée nécessitant une rééducation intensive. L'évaluation neurologique reste rendue difficile par la barrière linguistique japonaise.</w:t>
      </w:r>
    </w:p>
    <w:p>
      <w:pPr>
        <w:spacing w:after="60" w:before="60"/>
      </w:pPr>
      <w:r>
        <w:rPr>
          <w:rFonts w:ascii="Arial" w:cs="Arial" w:eastAsia="Arial" w:hAnsi="Arial"/>
          <w:sz w:val="22"/>
          <w:szCs w:val="22"/>
        </w:rPr>
        <w:t xml:space="preserve">Un complément d'embolisation par stent est à discuter à distance selon l'évolution clinique et angiographique. Une imagerie cérébrale de contrôle (IRM) est également à planifier.</w:t>
      </w:r>
    </w:p>
    <w:p>
      <w:pPr>
        <w:spacing w:after="0" w:before="320"/>
        <w:jc w:val="right"/>
      </w:pPr>
      <w:r>
        <w:rPr>
          <w:rFonts w:ascii="Arial" w:cs="Arial" w:eastAsia="Arial" w:hAnsi="Arial"/>
          <w:i/>
          <w:iCs/>
          <w:color w:val="777777"/>
          <w:sz w:val="18"/>
          <w:szCs w:val="18"/>
        </w:rPr>
        <w:t xml:space="preserve">Document rédigé sur la base des notes cliniques du dossier électronique (01/12/2025 au 26/12/2025).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2026-06-15T14:00:22.378Z</dcterms:created>
  <dcterms:modified xsi:type="dcterms:W3CDTF">2026-06-15T14:00:22.379Z</dcterms:modified>
</cp:coreProperties>
</file>

<file path=docProps/custom.xml><?xml version="1.0" encoding="utf-8"?>
<Properties xmlns="http://schemas.openxmlformats.org/officeDocument/2006/custom-properties" xmlns:vt="http://schemas.openxmlformats.org/officeDocument/2006/docPropsVTypes"/>
</file>