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838AD" w14:textId="77777777" w:rsidR="00D15DA9" w:rsidRDefault="00D15DA9">
      <w:pPr>
        <w:rPr>
          <w:rFonts w:ascii="Cambria" w:eastAsia="Cambria" w:hAnsi="Cambria" w:cs="Cambria"/>
          <w:b/>
          <w:bCs/>
          <w:color w:val="1E2761"/>
          <w:sz w:val="50"/>
          <w:szCs w:val="50"/>
        </w:rPr>
      </w:pPr>
    </w:p>
    <w:p w14:paraId="2F63280E" w14:textId="77777777" w:rsidR="00D15DA9" w:rsidRDefault="00D15DA9">
      <w:pPr>
        <w:rPr>
          <w:rFonts w:ascii="Cambria" w:eastAsia="Cambria" w:hAnsi="Cambria" w:cs="Cambria"/>
          <w:b/>
          <w:bCs/>
          <w:color w:val="1E2761"/>
          <w:sz w:val="50"/>
          <w:szCs w:val="50"/>
        </w:rPr>
      </w:pPr>
    </w:p>
    <w:p w14:paraId="0A046772" w14:textId="77777777" w:rsidR="00D15DA9" w:rsidRDefault="00D15DA9">
      <w:pPr>
        <w:rPr>
          <w:rFonts w:ascii="Cambria" w:eastAsia="Cambria" w:hAnsi="Cambria" w:cs="Cambria"/>
          <w:b/>
          <w:bCs/>
          <w:color w:val="1E2761"/>
          <w:sz w:val="50"/>
          <w:szCs w:val="50"/>
        </w:rPr>
      </w:pPr>
    </w:p>
    <w:p w14:paraId="66014964" w14:textId="77777777" w:rsidR="00D15DA9" w:rsidRDefault="00D15DA9">
      <w:pPr>
        <w:rPr>
          <w:rFonts w:ascii="Cambria" w:eastAsia="Cambria" w:hAnsi="Cambria" w:cs="Cambria"/>
          <w:b/>
          <w:bCs/>
          <w:color w:val="1E2761"/>
          <w:sz w:val="50"/>
          <w:szCs w:val="50"/>
        </w:rPr>
      </w:pPr>
    </w:p>
    <w:p w14:paraId="5A697E62" w14:textId="77777777" w:rsidR="00D15DA9" w:rsidRDefault="00D15DA9">
      <w:pPr>
        <w:rPr>
          <w:rFonts w:ascii="Cambria" w:eastAsia="Cambria" w:hAnsi="Cambria" w:cs="Cambria"/>
          <w:b/>
          <w:bCs/>
          <w:color w:val="1E2761"/>
          <w:sz w:val="50"/>
          <w:szCs w:val="50"/>
        </w:rPr>
      </w:pPr>
    </w:p>
    <w:p w14:paraId="1C225583" w14:textId="77777777" w:rsidR="00D15DA9" w:rsidRDefault="00D15DA9">
      <w:pPr>
        <w:rPr>
          <w:rFonts w:ascii="Cambria" w:eastAsia="Cambria" w:hAnsi="Cambria" w:cs="Cambria"/>
          <w:b/>
          <w:bCs/>
          <w:color w:val="1E2761"/>
          <w:sz w:val="50"/>
          <w:szCs w:val="50"/>
        </w:rPr>
      </w:pPr>
    </w:p>
    <w:p w14:paraId="6C37493F" w14:textId="77777777" w:rsidR="00D15DA9" w:rsidRDefault="00D15DA9">
      <w:pPr>
        <w:rPr>
          <w:rFonts w:ascii="Cambria" w:eastAsia="Cambria" w:hAnsi="Cambria" w:cs="Cambria"/>
          <w:b/>
          <w:bCs/>
          <w:color w:val="1E2761"/>
          <w:sz w:val="50"/>
          <w:szCs w:val="50"/>
        </w:rPr>
      </w:pPr>
    </w:p>
    <w:p w14:paraId="2001DABE" w14:textId="77777777" w:rsidR="00D15DA9" w:rsidRDefault="00D15DA9">
      <w:pPr>
        <w:rPr>
          <w:rFonts w:ascii="Cambria" w:eastAsia="Cambria" w:hAnsi="Cambria" w:cs="Cambria"/>
          <w:b/>
          <w:bCs/>
          <w:color w:val="1E2761"/>
          <w:sz w:val="50"/>
          <w:szCs w:val="50"/>
        </w:rPr>
      </w:pPr>
    </w:p>
    <w:p w14:paraId="02317163" w14:textId="77777777" w:rsidR="00D15DA9" w:rsidRDefault="00D15DA9">
      <w:pPr>
        <w:rPr>
          <w:rFonts w:ascii="Cambria" w:eastAsia="Cambria" w:hAnsi="Cambria" w:cs="Cambria"/>
          <w:b/>
          <w:bCs/>
          <w:color w:val="1E2761"/>
          <w:sz w:val="50"/>
          <w:szCs w:val="50"/>
        </w:rPr>
      </w:pPr>
    </w:p>
    <w:p w14:paraId="3DD78595" w14:textId="77777777" w:rsidR="00D15DA9" w:rsidRDefault="00D15DA9">
      <w:pPr>
        <w:rPr>
          <w:rFonts w:ascii="Cambria" w:eastAsia="Cambria" w:hAnsi="Cambria" w:cs="Cambria"/>
          <w:b/>
          <w:bCs/>
          <w:color w:val="1E2761"/>
          <w:sz w:val="50"/>
          <w:szCs w:val="50"/>
        </w:rPr>
      </w:pPr>
    </w:p>
    <w:p w14:paraId="102C7BD4" w14:textId="77777777" w:rsidR="00D15DA9" w:rsidRPr="00D15DA9" w:rsidRDefault="00D15DA9" w:rsidP="00D15DA9">
      <w:pPr>
        <w:spacing w:before="300"/>
        <w:jc w:val="center"/>
        <w:rPr>
          <w:rFonts w:ascii="Cambria" w:eastAsia="Cambria" w:hAnsi="Cambria" w:cs="Cambria"/>
          <w:b/>
          <w:bCs/>
          <w:color w:val="1E2761"/>
          <w:sz w:val="52"/>
          <w:szCs w:val="52"/>
        </w:rPr>
      </w:pPr>
      <w:r w:rsidRPr="00D15DA9">
        <w:rPr>
          <w:rFonts w:ascii="Cambria" w:eastAsia="Cambria" w:hAnsi="Cambria" w:cs="Cambria"/>
          <w:b/>
          <w:bCs/>
          <w:color w:val="1E2761"/>
          <w:sz w:val="52"/>
          <w:szCs w:val="52"/>
        </w:rPr>
        <w:t xml:space="preserve"> SIMULATEUR DE DONNEES</w:t>
      </w:r>
    </w:p>
    <w:p w14:paraId="15971E34" w14:textId="77777777" w:rsidR="000D4E74" w:rsidRDefault="00FE0062" w:rsidP="00D15DA9">
      <w:pPr>
        <w:spacing w:before="300"/>
        <w:jc w:val="center"/>
        <w:rPr>
          <w:i/>
          <w:iCs/>
          <w:color w:val="5B5B5B"/>
          <w:sz w:val="24"/>
          <w:szCs w:val="24"/>
        </w:rPr>
      </w:pPr>
      <w:r w:rsidRPr="00D15DA9">
        <w:rPr>
          <w:rFonts w:ascii="Cambria" w:eastAsia="Cambria" w:hAnsi="Cambria" w:cs="Cambria"/>
          <w:b/>
          <w:bCs/>
          <w:color w:val="1E2761"/>
          <w:sz w:val="50"/>
          <w:szCs w:val="50"/>
        </w:rPr>
        <w:t xml:space="preserve">Document technique de cadrage du développement </w:t>
      </w:r>
      <w:r w:rsidR="00D15DA9" w:rsidRPr="00D15DA9">
        <w:rPr>
          <w:rFonts w:ascii="Cambria" w:eastAsia="Cambria" w:hAnsi="Cambria" w:cs="Cambria"/>
          <w:b/>
          <w:bCs/>
          <w:color w:val="1E2761"/>
          <w:sz w:val="50"/>
          <w:szCs w:val="50"/>
        </w:rPr>
        <w:t>du module de test de qualité de données</w:t>
      </w:r>
    </w:p>
    <w:p w14:paraId="616E6E7B" w14:textId="77777777" w:rsidR="00D15DA9" w:rsidRDefault="00D15DA9">
      <w:pPr>
        <w:spacing w:before="300"/>
        <w:rPr>
          <w:i/>
          <w:iCs/>
          <w:color w:val="5B5B5B"/>
          <w:sz w:val="24"/>
          <w:szCs w:val="24"/>
        </w:rPr>
      </w:pPr>
    </w:p>
    <w:p w14:paraId="64914A5C" w14:textId="77777777" w:rsidR="00D15DA9" w:rsidRDefault="00D15DA9">
      <w:pPr>
        <w:spacing w:before="300"/>
        <w:rPr>
          <w:i/>
          <w:iCs/>
          <w:color w:val="5B5B5B"/>
          <w:sz w:val="24"/>
          <w:szCs w:val="24"/>
        </w:rPr>
      </w:pPr>
    </w:p>
    <w:p w14:paraId="34DE97EB" w14:textId="77777777" w:rsidR="00D15DA9" w:rsidRPr="00D15DA9" w:rsidRDefault="00D15DA9" w:rsidP="00D15DA9"/>
    <w:p w14:paraId="5A76ECCF" w14:textId="77777777" w:rsidR="00D15DA9" w:rsidRDefault="00D15DA9" w:rsidP="00D15DA9"/>
    <w:p w14:paraId="0BBC711C" w14:textId="77777777" w:rsidR="00183346" w:rsidRDefault="00183346" w:rsidP="00D15DA9"/>
    <w:p w14:paraId="156F7596" w14:textId="77777777" w:rsidR="00183346" w:rsidRPr="00D15DA9" w:rsidRDefault="00183346" w:rsidP="00D15DA9"/>
    <w:p w14:paraId="1F67A442" w14:textId="77777777" w:rsidR="00D15DA9" w:rsidRPr="00D15DA9" w:rsidRDefault="00D15DA9" w:rsidP="00D15DA9"/>
    <w:p w14:paraId="66153065" w14:textId="77777777" w:rsidR="00D15DA9" w:rsidRDefault="00D15DA9">
      <w:pPr>
        <w:spacing w:before="300"/>
        <w:rPr>
          <w:i/>
          <w:iCs/>
          <w:color w:val="5B5B5B"/>
          <w:sz w:val="24"/>
          <w:szCs w:val="24"/>
        </w:rPr>
      </w:pPr>
    </w:p>
    <w:p w14:paraId="55EE8A47" w14:textId="77777777" w:rsidR="00D15DA9" w:rsidRDefault="00D15DA9">
      <w:pPr>
        <w:spacing w:before="300"/>
        <w:rPr>
          <w:i/>
          <w:iCs/>
          <w:color w:val="5B5B5B"/>
          <w:sz w:val="24"/>
          <w:szCs w:val="24"/>
        </w:rPr>
      </w:pPr>
    </w:p>
    <w:p w14:paraId="3B3B9BBD" w14:textId="77777777" w:rsidR="00D15DA9" w:rsidRDefault="00D15DA9">
      <w:pPr>
        <w:spacing w:before="300"/>
        <w:rPr>
          <w:i/>
          <w:iCs/>
          <w:color w:val="5B5B5B"/>
          <w:sz w:val="24"/>
          <w:szCs w:val="24"/>
        </w:rPr>
      </w:pPr>
    </w:p>
    <w:p w14:paraId="78D2623F" w14:textId="77777777" w:rsidR="00D15DA9" w:rsidRDefault="00D15DA9">
      <w:pPr>
        <w:spacing w:before="300"/>
        <w:rPr>
          <w:i/>
          <w:iCs/>
          <w:color w:val="5B5B5B"/>
          <w:sz w:val="24"/>
          <w:szCs w:val="24"/>
        </w:rPr>
      </w:pPr>
    </w:p>
    <w:p w14:paraId="3A0FFAC1" w14:textId="77777777" w:rsidR="00D15DA9" w:rsidRDefault="00D15DA9">
      <w:pPr>
        <w:spacing w:before="300"/>
      </w:pPr>
    </w:p>
    <w:p w14:paraId="586688BC" w14:textId="77777777" w:rsidR="003F1DD4" w:rsidRDefault="003F1DD4"/>
    <w:sdt>
      <w:sdtPr>
        <w:rPr>
          <w:rFonts w:ascii="Calibri" w:eastAsiaTheme="minorHAnsi" w:hAnsi="Calibri" w:cs="Calibri"/>
          <w:bCs/>
          <w:sz w:val="22"/>
          <w:szCs w:val="22"/>
        </w:rPr>
        <w:id w:val="-1903359322"/>
        <w:docPartObj>
          <w:docPartGallery w:val="Table of Contents"/>
          <w:docPartUnique/>
        </w:docPartObj>
      </w:sdtPr>
      <w:sdtEndPr>
        <w:rPr>
          <w:rFonts w:eastAsia="Calibri"/>
        </w:rPr>
      </w:sdtEndPr>
      <w:sdtContent>
        <w:p w14:paraId="7098873C" w14:textId="77777777" w:rsidR="003F1DD4" w:rsidRPr="00B14F4C" w:rsidRDefault="003F1DD4" w:rsidP="003F1DD4">
          <w:pPr>
            <w:pStyle w:val="En-ttedetabledesmatires"/>
            <w:jc w:val="center"/>
            <w:rPr>
              <w:rFonts w:ascii="Calibri" w:hAnsi="Calibri" w:cs="Calibri"/>
              <w:bCs/>
              <w:sz w:val="22"/>
              <w:szCs w:val="22"/>
            </w:rPr>
          </w:pPr>
          <w:r w:rsidRPr="00B14F4C">
            <w:rPr>
              <w:rFonts w:ascii="Calibri" w:hAnsi="Calibri" w:cs="Calibri"/>
              <w:bCs/>
              <w:sz w:val="22"/>
              <w:szCs w:val="22"/>
            </w:rPr>
            <w:t>Table des matières</w:t>
          </w:r>
        </w:p>
        <w:p w14:paraId="0B158FAA" w14:textId="4E43D00C" w:rsidR="00B14F4C" w:rsidRPr="00B14F4C" w:rsidRDefault="003F1DD4">
          <w:pPr>
            <w:pStyle w:val="TM1"/>
            <w:tabs>
              <w:tab w:val="right" w:leader="dot" w:pos="9296"/>
            </w:tabs>
            <w:rPr>
              <w:rFonts w:ascii="Calibri" w:hAnsi="Calibri" w:cs="Calibri"/>
              <w:bCs/>
              <w:noProof/>
              <w:kern w:val="2"/>
              <w14:ligatures w14:val="standardContextual"/>
            </w:rPr>
          </w:pPr>
          <w:r w:rsidRPr="00B14F4C">
            <w:rPr>
              <w:rFonts w:ascii="Calibri" w:hAnsi="Calibri" w:cs="Calibri"/>
              <w:bCs/>
            </w:rPr>
            <w:fldChar w:fldCharType="begin"/>
          </w:r>
          <w:r w:rsidRPr="00B14F4C">
            <w:rPr>
              <w:rFonts w:ascii="Calibri" w:hAnsi="Calibri" w:cs="Calibri"/>
              <w:bCs/>
            </w:rPr>
            <w:instrText xml:space="preserve"> TOC \o "1-3" \h \z \u </w:instrText>
          </w:r>
          <w:r w:rsidRPr="00B14F4C">
            <w:rPr>
              <w:rFonts w:ascii="Calibri" w:hAnsi="Calibri" w:cs="Calibri"/>
              <w:bCs/>
            </w:rPr>
            <w:fldChar w:fldCharType="separate"/>
          </w:r>
          <w:hyperlink w:anchor="_Toc238477327" w:history="1">
            <w:r w:rsidR="00B14F4C" w:rsidRPr="00B14F4C">
              <w:rPr>
                <w:rStyle w:val="Lienhypertexte"/>
                <w:rFonts w:ascii="Calibri" w:eastAsia="Cambria" w:hAnsi="Calibri" w:cs="Calibri"/>
                <w:bCs/>
                <w:noProof/>
                <w:color w:val="auto"/>
              </w:rPr>
              <w:t>Qu'est-ce qu'une campagne de test ?</w:t>
            </w:r>
            <w:r w:rsidR="00B14F4C" w:rsidRPr="00B14F4C">
              <w:rPr>
                <w:rFonts w:ascii="Calibri" w:hAnsi="Calibri" w:cs="Calibri"/>
                <w:bCs/>
                <w:noProof/>
                <w:webHidden/>
              </w:rPr>
              <w:tab/>
            </w:r>
            <w:r w:rsidR="00B14F4C" w:rsidRPr="00B14F4C">
              <w:rPr>
                <w:rFonts w:ascii="Calibri" w:hAnsi="Calibri" w:cs="Calibri"/>
                <w:bCs/>
                <w:noProof/>
                <w:webHidden/>
              </w:rPr>
              <w:fldChar w:fldCharType="begin"/>
            </w:r>
            <w:r w:rsidR="00B14F4C" w:rsidRPr="00B14F4C">
              <w:rPr>
                <w:rFonts w:ascii="Calibri" w:hAnsi="Calibri" w:cs="Calibri"/>
                <w:bCs/>
                <w:noProof/>
                <w:webHidden/>
              </w:rPr>
              <w:instrText xml:space="preserve"> PAGEREF _Toc238477327 \h </w:instrText>
            </w:r>
            <w:r w:rsidR="00B14F4C" w:rsidRPr="00B14F4C">
              <w:rPr>
                <w:rFonts w:ascii="Calibri" w:hAnsi="Calibri" w:cs="Calibri"/>
                <w:bCs/>
                <w:noProof/>
                <w:webHidden/>
              </w:rPr>
            </w:r>
            <w:r w:rsidR="00B14F4C" w:rsidRPr="00B14F4C">
              <w:rPr>
                <w:rFonts w:ascii="Calibri" w:hAnsi="Calibri" w:cs="Calibri"/>
                <w:bCs/>
                <w:noProof/>
                <w:webHidden/>
              </w:rPr>
              <w:fldChar w:fldCharType="separate"/>
            </w:r>
            <w:r w:rsidR="00B14F4C" w:rsidRPr="00B14F4C">
              <w:rPr>
                <w:rFonts w:ascii="Calibri" w:hAnsi="Calibri" w:cs="Calibri"/>
                <w:bCs/>
                <w:noProof/>
                <w:webHidden/>
              </w:rPr>
              <w:t>3</w:t>
            </w:r>
            <w:r w:rsidR="00B14F4C" w:rsidRPr="00B14F4C">
              <w:rPr>
                <w:rFonts w:ascii="Calibri" w:hAnsi="Calibri" w:cs="Calibri"/>
                <w:bCs/>
                <w:noProof/>
                <w:webHidden/>
              </w:rPr>
              <w:fldChar w:fldCharType="end"/>
            </w:r>
          </w:hyperlink>
        </w:p>
        <w:p w14:paraId="55351A50" w14:textId="536C9AF8" w:rsidR="00B14F4C" w:rsidRPr="00B14F4C" w:rsidRDefault="00B14F4C">
          <w:pPr>
            <w:pStyle w:val="TM1"/>
            <w:tabs>
              <w:tab w:val="right" w:leader="dot" w:pos="9296"/>
            </w:tabs>
            <w:rPr>
              <w:rFonts w:ascii="Calibri" w:hAnsi="Calibri" w:cs="Calibri"/>
              <w:bCs/>
              <w:noProof/>
              <w:kern w:val="2"/>
              <w14:ligatures w14:val="standardContextual"/>
            </w:rPr>
          </w:pPr>
          <w:hyperlink w:anchor="_Toc238477328" w:history="1">
            <w:r w:rsidRPr="00B14F4C">
              <w:rPr>
                <w:rStyle w:val="Lienhypertexte"/>
                <w:rFonts w:ascii="Calibri" w:eastAsia="Cambria" w:hAnsi="Calibri" w:cs="Calibri"/>
                <w:bCs/>
                <w:noProof/>
                <w:color w:val="auto"/>
              </w:rPr>
              <w:t>Chapitre 1 :  Tester l'outil de Qualité des Données : le principe du « corrigé »</w:t>
            </w:r>
            <w:r w:rsidRPr="00B14F4C">
              <w:rPr>
                <w:rFonts w:ascii="Calibri" w:hAnsi="Calibri" w:cs="Calibri"/>
                <w:bCs/>
                <w:noProof/>
                <w:webHidden/>
              </w:rPr>
              <w:tab/>
            </w:r>
            <w:r w:rsidRPr="00B14F4C">
              <w:rPr>
                <w:rFonts w:ascii="Calibri" w:hAnsi="Calibri" w:cs="Calibri"/>
                <w:bCs/>
                <w:noProof/>
                <w:webHidden/>
              </w:rPr>
              <w:fldChar w:fldCharType="begin"/>
            </w:r>
            <w:r w:rsidRPr="00B14F4C">
              <w:rPr>
                <w:rFonts w:ascii="Calibri" w:hAnsi="Calibri" w:cs="Calibri"/>
                <w:bCs/>
                <w:noProof/>
                <w:webHidden/>
              </w:rPr>
              <w:instrText xml:space="preserve"> PAGEREF _Toc238477328 \h </w:instrText>
            </w:r>
            <w:r w:rsidRPr="00B14F4C">
              <w:rPr>
                <w:rFonts w:ascii="Calibri" w:hAnsi="Calibri" w:cs="Calibri"/>
                <w:bCs/>
                <w:noProof/>
                <w:webHidden/>
              </w:rPr>
            </w:r>
            <w:r w:rsidRPr="00B14F4C">
              <w:rPr>
                <w:rFonts w:ascii="Calibri" w:hAnsi="Calibri" w:cs="Calibri"/>
                <w:bCs/>
                <w:noProof/>
                <w:webHidden/>
              </w:rPr>
              <w:fldChar w:fldCharType="separate"/>
            </w:r>
            <w:r w:rsidRPr="00B14F4C">
              <w:rPr>
                <w:rFonts w:ascii="Calibri" w:hAnsi="Calibri" w:cs="Calibri"/>
                <w:bCs/>
                <w:noProof/>
                <w:webHidden/>
              </w:rPr>
              <w:t>3</w:t>
            </w:r>
            <w:r w:rsidRPr="00B14F4C">
              <w:rPr>
                <w:rFonts w:ascii="Calibri" w:hAnsi="Calibri" w:cs="Calibri"/>
                <w:bCs/>
                <w:noProof/>
                <w:webHidden/>
              </w:rPr>
              <w:fldChar w:fldCharType="end"/>
            </w:r>
          </w:hyperlink>
        </w:p>
        <w:p w14:paraId="713F59AF" w14:textId="00B2B63C" w:rsidR="00B14F4C" w:rsidRPr="00B14F4C" w:rsidRDefault="00B14F4C">
          <w:pPr>
            <w:pStyle w:val="TM2"/>
            <w:tabs>
              <w:tab w:val="right" w:leader="dot" w:pos="9296"/>
            </w:tabs>
            <w:rPr>
              <w:rFonts w:ascii="Calibri" w:eastAsiaTheme="minorEastAsia" w:hAnsi="Calibri" w:cs="Calibri"/>
              <w:bCs/>
              <w:noProof/>
              <w:kern w:val="2"/>
              <w:sz w:val="22"/>
              <w:szCs w:val="22"/>
              <w14:ligatures w14:val="standardContextual"/>
            </w:rPr>
          </w:pPr>
          <w:hyperlink w:anchor="_Toc238477329" w:history="1">
            <w:r w:rsidRPr="00B14F4C">
              <w:rPr>
                <w:rStyle w:val="Lienhypertexte"/>
                <w:rFonts w:ascii="Calibri" w:eastAsia="Cambria" w:hAnsi="Calibri" w:cs="Calibri"/>
                <w:bCs/>
                <w:noProof/>
                <w:color w:val="auto"/>
                <w:sz w:val="22"/>
                <w:szCs w:val="22"/>
              </w:rPr>
              <w:t>1. Typologie exhaustive des incohérences à tester &amp; dosage par pourcentage</w:t>
            </w:r>
            <w:r w:rsidRPr="00B14F4C">
              <w:rPr>
                <w:rFonts w:ascii="Calibri" w:hAnsi="Calibri" w:cs="Calibri"/>
                <w:bCs/>
                <w:noProof/>
                <w:webHidden/>
                <w:sz w:val="22"/>
                <w:szCs w:val="22"/>
              </w:rPr>
              <w:tab/>
            </w:r>
            <w:r w:rsidRPr="00B14F4C">
              <w:rPr>
                <w:rFonts w:ascii="Calibri" w:hAnsi="Calibri" w:cs="Calibri"/>
                <w:bCs/>
                <w:noProof/>
                <w:webHidden/>
                <w:sz w:val="22"/>
                <w:szCs w:val="22"/>
              </w:rPr>
              <w:fldChar w:fldCharType="begin"/>
            </w:r>
            <w:r w:rsidRPr="00B14F4C">
              <w:rPr>
                <w:rFonts w:ascii="Calibri" w:hAnsi="Calibri" w:cs="Calibri"/>
                <w:bCs/>
                <w:noProof/>
                <w:webHidden/>
                <w:sz w:val="22"/>
                <w:szCs w:val="22"/>
              </w:rPr>
              <w:instrText xml:space="preserve"> PAGEREF _Toc238477329 \h </w:instrText>
            </w:r>
            <w:r w:rsidRPr="00B14F4C">
              <w:rPr>
                <w:rFonts w:ascii="Calibri" w:hAnsi="Calibri" w:cs="Calibri"/>
                <w:bCs/>
                <w:noProof/>
                <w:webHidden/>
                <w:sz w:val="22"/>
                <w:szCs w:val="22"/>
              </w:rPr>
            </w:r>
            <w:r w:rsidRPr="00B14F4C">
              <w:rPr>
                <w:rFonts w:ascii="Calibri" w:hAnsi="Calibri" w:cs="Calibri"/>
                <w:bCs/>
                <w:noProof/>
                <w:webHidden/>
                <w:sz w:val="22"/>
                <w:szCs w:val="22"/>
              </w:rPr>
              <w:fldChar w:fldCharType="separate"/>
            </w:r>
            <w:r w:rsidRPr="00B14F4C">
              <w:rPr>
                <w:rFonts w:ascii="Calibri" w:hAnsi="Calibri" w:cs="Calibri"/>
                <w:bCs/>
                <w:noProof/>
                <w:webHidden/>
                <w:sz w:val="22"/>
                <w:szCs w:val="22"/>
              </w:rPr>
              <w:t>3</w:t>
            </w:r>
            <w:r w:rsidRPr="00B14F4C">
              <w:rPr>
                <w:rFonts w:ascii="Calibri" w:hAnsi="Calibri" w:cs="Calibri"/>
                <w:bCs/>
                <w:noProof/>
                <w:webHidden/>
                <w:sz w:val="22"/>
                <w:szCs w:val="22"/>
              </w:rPr>
              <w:fldChar w:fldCharType="end"/>
            </w:r>
          </w:hyperlink>
        </w:p>
        <w:p w14:paraId="26607A9F" w14:textId="732C683C" w:rsidR="00B14F4C" w:rsidRPr="00B14F4C" w:rsidRDefault="00B14F4C">
          <w:pPr>
            <w:pStyle w:val="TM1"/>
            <w:tabs>
              <w:tab w:val="right" w:leader="dot" w:pos="9296"/>
            </w:tabs>
            <w:rPr>
              <w:rFonts w:ascii="Calibri" w:hAnsi="Calibri" w:cs="Calibri"/>
              <w:bCs/>
              <w:noProof/>
              <w:kern w:val="2"/>
              <w14:ligatures w14:val="standardContextual"/>
            </w:rPr>
          </w:pPr>
          <w:hyperlink w:anchor="_Toc238477330" w:history="1">
            <w:r w:rsidRPr="00B14F4C">
              <w:rPr>
                <w:rStyle w:val="Lienhypertexte"/>
                <w:rFonts w:ascii="Calibri" w:eastAsia="Cambria" w:hAnsi="Calibri" w:cs="Calibri"/>
                <w:bCs/>
                <w:noProof/>
                <w:color w:val="auto"/>
              </w:rPr>
              <w:t>Chapitre 2 : Mode de communication des données entre le simulateur et l’outil</w:t>
            </w:r>
            <w:r w:rsidRPr="00B14F4C">
              <w:rPr>
                <w:rFonts w:ascii="Calibri" w:hAnsi="Calibri" w:cs="Calibri"/>
                <w:bCs/>
                <w:noProof/>
                <w:webHidden/>
              </w:rPr>
              <w:tab/>
            </w:r>
            <w:r w:rsidRPr="00B14F4C">
              <w:rPr>
                <w:rFonts w:ascii="Calibri" w:hAnsi="Calibri" w:cs="Calibri"/>
                <w:bCs/>
                <w:noProof/>
                <w:webHidden/>
              </w:rPr>
              <w:fldChar w:fldCharType="begin"/>
            </w:r>
            <w:r w:rsidRPr="00B14F4C">
              <w:rPr>
                <w:rFonts w:ascii="Calibri" w:hAnsi="Calibri" w:cs="Calibri"/>
                <w:bCs/>
                <w:noProof/>
                <w:webHidden/>
              </w:rPr>
              <w:instrText xml:space="preserve"> PAGEREF _Toc238477330 \h </w:instrText>
            </w:r>
            <w:r w:rsidRPr="00B14F4C">
              <w:rPr>
                <w:rFonts w:ascii="Calibri" w:hAnsi="Calibri" w:cs="Calibri"/>
                <w:bCs/>
                <w:noProof/>
                <w:webHidden/>
              </w:rPr>
            </w:r>
            <w:r w:rsidRPr="00B14F4C">
              <w:rPr>
                <w:rFonts w:ascii="Calibri" w:hAnsi="Calibri" w:cs="Calibri"/>
                <w:bCs/>
                <w:noProof/>
                <w:webHidden/>
              </w:rPr>
              <w:fldChar w:fldCharType="separate"/>
            </w:r>
            <w:r w:rsidRPr="00B14F4C">
              <w:rPr>
                <w:rFonts w:ascii="Calibri" w:hAnsi="Calibri" w:cs="Calibri"/>
                <w:bCs/>
                <w:noProof/>
                <w:webHidden/>
              </w:rPr>
              <w:t>5</w:t>
            </w:r>
            <w:r w:rsidRPr="00B14F4C">
              <w:rPr>
                <w:rFonts w:ascii="Calibri" w:hAnsi="Calibri" w:cs="Calibri"/>
                <w:bCs/>
                <w:noProof/>
                <w:webHidden/>
              </w:rPr>
              <w:fldChar w:fldCharType="end"/>
            </w:r>
          </w:hyperlink>
        </w:p>
        <w:p w14:paraId="5E4CFCE7" w14:textId="03416CE3" w:rsidR="00B14F4C" w:rsidRPr="00B14F4C" w:rsidRDefault="00B14F4C">
          <w:pPr>
            <w:pStyle w:val="TM2"/>
            <w:tabs>
              <w:tab w:val="right" w:leader="dot" w:pos="9296"/>
            </w:tabs>
            <w:rPr>
              <w:rFonts w:ascii="Calibri" w:eastAsiaTheme="minorEastAsia" w:hAnsi="Calibri" w:cs="Calibri"/>
              <w:bCs/>
              <w:noProof/>
              <w:kern w:val="2"/>
              <w:sz w:val="22"/>
              <w:szCs w:val="22"/>
              <w14:ligatures w14:val="standardContextual"/>
            </w:rPr>
          </w:pPr>
          <w:hyperlink w:anchor="_Toc238477331" w:history="1">
            <w:r w:rsidRPr="00B14F4C">
              <w:rPr>
                <w:rStyle w:val="Lienhypertexte"/>
                <w:rFonts w:ascii="Calibri" w:eastAsia="Cambria" w:hAnsi="Calibri" w:cs="Calibri"/>
                <w:bCs/>
                <w:noProof/>
                <w:color w:val="auto"/>
                <w:sz w:val="22"/>
                <w:szCs w:val="22"/>
              </w:rPr>
              <w:t>2.1 L'envoi du jeu de données erronée</w:t>
            </w:r>
            <w:r w:rsidRPr="00B14F4C">
              <w:rPr>
                <w:rFonts w:ascii="Calibri" w:hAnsi="Calibri" w:cs="Calibri"/>
                <w:bCs/>
                <w:noProof/>
                <w:webHidden/>
                <w:sz w:val="22"/>
                <w:szCs w:val="22"/>
              </w:rPr>
              <w:tab/>
            </w:r>
            <w:r w:rsidRPr="00B14F4C">
              <w:rPr>
                <w:rFonts w:ascii="Calibri" w:hAnsi="Calibri" w:cs="Calibri"/>
                <w:bCs/>
                <w:noProof/>
                <w:webHidden/>
                <w:sz w:val="22"/>
                <w:szCs w:val="22"/>
              </w:rPr>
              <w:fldChar w:fldCharType="begin"/>
            </w:r>
            <w:r w:rsidRPr="00B14F4C">
              <w:rPr>
                <w:rFonts w:ascii="Calibri" w:hAnsi="Calibri" w:cs="Calibri"/>
                <w:bCs/>
                <w:noProof/>
                <w:webHidden/>
                <w:sz w:val="22"/>
                <w:szCs w:val="22"/>
              </w:rPr>
              <w:instrText xml:space="preserve"> PAGEREF _Toc238477331 \h </w:instrText>
            </w:r>
            <w:r w:rsidRPr="00B14F4C">
              <w:rPr>
                <w:rFonts w:ascii="Calibri" w:hAnsi="Calibri" w:cs="Calibri"/>
                <w:bCs/>
                <w:noProof/>
                <w:webHidden/>
                <w:sz w:val="22"/>
                <w:szCs w:val="22"/>
              </w:rPr>
            </w:r>
            <w:r w:rsidRPr="00B14F4C">
              <w:rPr>
                <w:rFonts w:ascii="Calibri" w:hAnsi="Calibri" w:cs="Calibri"/>
                <w:bCs/>
                <w:noProof/>
                <w:webHidden/>
                <w:sz w:val="22"/>
                <w:szCs w:val="22"/>
              </w:rPr>
              <w:fldChar w:fldCharType="separate"/>
            </w:r>
            <w:r w:rsidRPr="00B14F4C">
              <w:rPr>
                <w:rFonts w:ascii="Calibri" w:hAnsi="Calibri" w:cs="Calibri"/>
                <w:bCs/>
                <w:noProof/>
                <w:webHidden/>
                <w:sz w:val="22"/>
                <w:szCs w:val="22"/>
              </w:rPr>
              <w:t>5</w:t>
            </w:r>
            <w:r w:rsidRPr="00B14F4C">
              <w:rPr>
                <w:rFonts w:ascii="Calibri" w:hAnsi="Calibri" w:cs="Calibri"/>
                <w:bCs/>
                <w:noProof/>
                <w:webHidden/>
                <w:sz w:val="22"/>
                <w:szCs w:val="22"/>
              </w:rPr>
              <w:fldChar w:fldCharType="end"/>
            </w:r>
          </w:hyperlink>
        </w:p>
        <w:p w14:paraId="4A8F0D46" w14:textId="5A9548E7" w:rsidR="00B14F4C" w:rsidRPr="00B14F4C" w:rsidRDefault="00B14F4C">
          <w:pPr>
            <w:pStyle w:val="TM2"/>
            <w:tabs>
              <w:tab w:val="right" w:leader="dot" w:pos="9296"/>
            </w:tabs>
            <w:rPr>
              <w:rFonts w:ascii="Calibri" w:eastAsiaTheme="minorEastAsia" w:hAnsi="Calibri" w:cs="Calibri"/>
              <w:bCs/>
              <w:noProof/>
              <w:kern w:val="2"/>
              <w:sz w:val="22"/>
              <w:szCs w:val="22"/>
              <w14:ligatures w14:val="standardContextual"/>
            </w:rPr>
          </w:pPr>
          <w:hyperlink w:anchor="_Toc238477332" w:history="1">
            <w:r w:rsidRPr="00B14F4C">
              <w:rPr>
                <w:rStyle w:val="Lienhypertexte"/>
                <w:rFonts w:ascii="Calibri" w:eastAsia="Cambria" w:hAnsi="Calibri" w:cs="Calibri"/>
                <w:bCs/>
                <w:noProof/>
                <w:color w:val="auto"/>
                <w:sz w:val="22"/>
                <w:szCs w:val="22"/>
              </w:rPr>
              <w:t>2.2 Le marquage : une donnée de test reste une donnée de test</w:t>
            </w:r>
            <w:r w:rsidRPr="00B14F4C">
              <w:rPr>
                <w:rFonts w:ascii="Calibri" w:hAnsi="Calibri" w:cs="Calibri"/>
                <w:bCs/>
                <w:noProof/>
                <w:webHidden/>
                <w:sz w:val="22"/>
                <w:szCs w:val="22"/>
              </w:rPr>
              <w:tab/>
            </w:r>
            <w:r w:rsidRPr="00B14F4C">
              <w:rPr>
                <w:rFonts w:ascii="Calibri" w:hAnsi="Calibri" w:cs="Calibri"/>
                <w:bCs/>
                <w:noProof/>
                <w:webHidden/>
                <w:sz w:val="22"/>
                <w:szCs w:val="22"/>
              </w:rPr>
              <w:fldChar w:fldCharType="begin"/>
            </w:r>
            <w:r w:rsidRPr="00B14F4C">
              <w:rPr>
                <w:rFonts w:ascii="Calibri" w:hAnsi="Calibri" w:cs="Calibri"/>
                <w:bCs/>
                <w:noProof/>
                <w:webHidden/>
                <w:sz w:val="22"/>
                <w:szCs w:val="22"/>
              </w:rPr>
              <w:instrText xml:space="preserve"> PAGEREF _Toc238477332 \h </w:instrText>
            </w:r>
            <w:r w:rsidRPr="00B14F4C">
              <w:rPr>
                <w:rFonts w:ascii="Calibri" w:hAnsi="Calibri" w:cs="Calibri"/>
                <w:bCs/>
                <w:noProof/>
                <w:webHidden/>
                <w:sz w:val="22"/>
                <w:szCs w:val="22"/>
              </w:rPr>
            </w:r>
            <w:r w:rsidRPr="00B14F4C">
              <w:rPr>
                <w:rFonts w:ascii="Calibri" w:hAnsi="Calibri" w:cs="Calibri"/>
                <w:bCs/>
                <w:noProof/>
                <w:webHidden/>
                <w:sz w:val="22"/>
                <w:szCs w:val="22"/>
              </w:rPr>
              <w:fldChar w:fldCharType="separate"/>
            </w:r>
            <w:r w:rsidRPr="00B14F4C">
              <w:rPr>
                <w:rFonts w:ascii="Calibri" w:hAnsi="Calibri" w:cs="Calibri"/>
                <w:bCs/>
                <w:noProof/>
                <w:webHidden/>
                <w:sz w:val="22"/>
                <w:szCs w:val="22"/>
              </w:rPr>
              <w:t>6</w:t>
            </w:r>
            <w:r w:rsidRPr="00B14F4C">
              <w:rPr>
                <w:rFonts w:ascii="Calibri" w:hAnsi="Calibri" w:cs="Calibri"/>
                <w:bCs/>
                <w:noProof/>
                <w:webHidden/>
                <w:sz w:val="22"/>
                <w:szCs w:val="22"/>
              </w:rPr>
              <w:fldChar w:fldCharType="end"/>
            </w:r>
          </w:hyperlink>
        </w:p>
        <w:p w14:paraId="6CFD0AB9" w14:textId="1772047E" w:rsidR="00B14F4C" w:rsidRPr="00B14F4C" w:rsidRDefault="00B14F4C">
          <w:pPr>
            <w:pStyle w:val="TM2"/>
            <w:tabs>
              <w:tab w:val="right" w:leader="dot" w:pos="9296"/>
            </w:tabs>
            <w:rPr>
              <w:rFonts w:ascii="Calibri" w:eastAsiaTheme="minorEastAsia" w:hAnsi="Calibri" w:cs="Calibri"/>
              <w:bCs/>
              <w:noProof/>
              <w:kern w:val="2"/>
              <w:sz w:val="22"/>
              <w:szCs w:val="22"/>
              <w14:ligatures w14:val="standardContextual"/>
            </w:rPr>
          </w:pPr>
          <w:hyperlink w:anchor="_Toc238477333" w:history="1">
            <w:r w:rsidRPr="00B14F4C">
              <w:rPr>
                <w:rStyle w:val="Lienhypertexte"/>
                <w:rFonts w:ascii="Calibri" w:eastAsia="Cambria" w:hAnsi="Calibri" w:cs="Calibri"/>
                <w:bCs/>
                <w:noProof/>
                <w:color w:val="auto"/>
                <w:sz w:val="22"/>
                <w:szCs w:val="22"/>
              </w:rPr>
              <w:t>2.3 La réception du rapport de l'outil testé</w:t>
            </w:r>
            <w:r w:rsidRPr="00B14F4C">
              <w:rPr>
                <w:rFonts w:ascii="Calibri" w:hAnsi="Calibri" w:cs="Calibri"/>
                <w:bCs/>
                <w:noProof/>
                <w:webHidden/>
                <w:sz w:val="22"/>
                <w:szCs w:val="22"/>
              </w:rPr>
              <w:tab/>
            </w:r>
            <w:r w:rsidRPr="00B14F4C">
              <w:rPr>
                <w:rFonts w:ascii="Calibri" w:hAnsi="Calibri" w:cs="Calibri"/>
                <w:bCs/>
                <w:noProof/>
                <w:webHidden/>
                <w:sz w:val="22"/>
                <w:szCs w:val="22"/>
              </w:rPr>
              <w:fldChar w:fldCharType="begin"/>
            </w:r>
            <w:r w:rsidRPr="00B14F4C">
              <w:rPr>
                <w:rFonts w:ascii="Calibri" w:hAnsi="Calibri" w:cs="Calibri"/>
                <w:bCs/>
                <w:noProof/>
                <w:webHidden/>
                <w:sz w:val="22"/>
                <w:szCs w:val="22"/>
              </w:rPr>
              <w:instrText xml:space="preserve"> PAGEREF _Toc238477333 \h </w:instrText>
            </w:r>
            <w:r w:rsidRPr="00B14F4C">
              <w:rPr>
                <w:rFonts w:ascii="Calibri" w:hAnsi="Calibri" w:cs="Calibri"/>
                <w:bCs/>
                <w:noProof/>
                <w:webHidden/>
                <w:sz w:val="22"/>
                <w:szCs w:val="22"/>
              </w:rPr>
            </w:r>
            <w:r w:rsidRPr="00B14F4C">
              <w:rPr>
                <w:rFonts w:ascii="Calibri" w:hAnsi="Calibri" w:cs="Calibri"/>
                <w:bCs/>
                <w:noProof/>
                <w:webHidden/>
                <w:sz w:val="22"/>
                <w:szCs w:val="22"/>
              </w:rPr>
              <w:fldChar w:fldCharType="separate"/>
            </w:r>
            <w:r w:rsidRPr="00B14F4C">
              <w:rPr>
                <w:rFonts w:ascii="Calibri" w:hAnsi="Calibri" w:cs="Calibri"/>
                <w:bCs/>
                <w:noProof/>
                <w:webHidden/>
                <w:sz w:val="22"/>
                <w:szCs w:val="22"/>
              </w:rPr>
              <w:t>6</w:t>
            </w:r>
            <w:r w:rsidRPr="00B14F4C">
              <w:rPr>
                <w:rFonts w:ascii="Calibri" w:hAnsi="Calibri" w:cs="Calibri"/>
                <w:bCs/>
                <w:noProof/>
                <w:webHidden/>
                <w:sz w:val="22"/>
                <w:szCs w:val="22"/>
              </w:rPr>
              <w:fldChar w:fldCharType="end"/>
            </w:r>
          </w:hyperlink>
        </w:p>
        <w:p w14:paraId="4291424F" w14:textId="384BE0BB" w:rsidR="00B14F4C" w:rsidRPr="00B14F4C" w:rsidRDefault="00B14F4C">
          <w:pPr>
            <w:pStyle w:val="TM2"/>
            <w:tabs>
              <w:tab w:val="right" w:leader="dot" w:pos="9296"/>
            </w:tabs>
            <w:rPr>
              <w:rFonts w:ascii="Calibri" w:eastAsiaTheme="minorEastAsia" w:hAnsi="Calibri" w:cs="Calibri"/>
              <w:bCs/>
              <w:noProof/>
              <w:kern w:val="2"/>
              <w:sz w:val="22"/>
              <w:szCs w:val="22"/>
              <w14:ligatures w14:val="standardContextual"/>
            </w:rPr>
          </w:pPr>
          <w:hyperlink w:anchor="_Toc238477334" w:history="1">
            <w:r w:rsidRPr="00B14F4C">
              <w:rPr>
                <w:rStyle w:val="Lienhypertexte"/>
                <w:rFonts w:ascii="Calibri" w:eastAsia="Cambria" w:hAnsi="Calibri" w:cs="Calibri"/>
                <w:bCs/>
                <w:noProof/>
                <w:color w:val="auto"/>
                <w:sz w:val="22"/>
                <w:szCs w:val="22"/>
              </w:rPr>
              <w:t>2.4 Le rapprochement automatique avec le corrigé</w:t>
            </w:r>
            <w:r w:rsidRPr="00B14F4C">
              <w:rPr>
                <w:rFonts w:ascii="Calibri" w:hAnsi="Calibri" w:cs="Calibri"/>
                <w:bCs/>
                <w:noProof/>
                <w:webHidden/>
                <w:sz w:val="22"/>
                <w:szCs w:val="22"/>
              </w:rPr>
              <w:tab/>
            </w:r>
            <w:r w:rsidRPr="00B14F4C">
              <w:rPr>
                <w:rFonts w:ascii="Calibri" w:hAnsi="Calibri" w:cs="Calibri"/>
                <w:bCs/>
                <w:noProof/>
                <w:webHidden/>
                <w:sz w:val="22"/>
                <w:szCs w:val="22"/>
              </w:rPr>
              <w:fldChar w:fldCharType="begin"/>
            </w:r>
            <w:r w:rsidRPr="00B14F4C">
              <w:rPr>
                <w:rFonts w:ascii="Calibri" w:hAnsi="Calibri" w:cs="Calibri"/>
                <w:bCs/>
                <w:noProof/>
                <w:webHidden/>
                <w:sz w:val="22"/>
                <w:szCs w:val="22"/>
              </w:rPr>
              <w:instrText xml:space="preserve"> PAGEREF _Toc238477334 \h </w:instrText>
            </w:r>
            <w:r w:rsidRPr="00B14F4C">
              <w:rPr>
                <w:rFonts w:ascii="Calibri" w:hAnsi="Calibri" w:cs="Calibri"/>
                <w:bCs/>
                <w:noProof/>
                <w:webHidden/>
                <w:sz w:val="22"/>
                <w:szCs w:val="22"/>
              </w:rPr>
            </w:r>
            <w:r w:rsidRPr="00B14F4C">
              <w:rPr>
                <w:rFonts w:ascii="Calibri" w:hAnsi="Calibri" w:cs="Calibri"/>
                <w:bCs/>
                <w:noProof/>
                <w:webHidden/>
                <w:sz w:val="22"/>
                <w:szCs w:val="22"/>
              </w:rPr>
              <w:fldChar w:fldCharType="separate"/>
            </w:r>
            <w:r w:rsidRPr="00B14F4C">
              <w:rPr>
                <w:rFonts w:ascii="Calibri" w:hAnsi="Calibri" w:cs="Calibri"/>
                <w:bCs/>
                <w:noProof/>
                <w:webHidden/>
                <w:sz w:val="22"/>
                <w:szCs w:val="22"/>
              </w:rPr>
              <w:t>6</w:t>
            </w:r>
            <w:r w:rsidRPr="00B14F4C">
              <w:rPr>
                <w:rFonts w:ascii="Calibri" w:hAnsi="Calibri" w:cs="Calibri"/>
                <w:bCs/>
                <w:noProof/>
                <w:webHidden/>
                <w:sz w:val="22"/>
                <w:szCs w:val="22"/>
              </w:rPr>
              <w:fldChar w:fldCharType="end"/>
            </w:r>
          </w:hyperlink>
        </w:p>
        <w:p w14:paraId="59A9A824" w14:textId="623E5E88" w:rsidR="00B14F4C" w:rsidRPr="00B14F4C" w:rsidRDefault="00B14F4C">
          <w:pPr>
            <w:pStyle w:val="TM2"/>
            <w:tabs>
              <w:tab w:val="right" w:leader="dot" w:pos="9296"/>
            </w:tabs>
            <w:rPr>
              <w:rFonts w:ascii="Calibri" w:eastAsiaTheme="minorEastAsia" w:hAnsi="Calibri" w:cs="Calibri"/>
              <w:bCs/>
              <w:noProof/>
              <w:kern w:val="2"/>
              <w:sz w:val="22"/>
              <w:szCs w:val="22"/>
              <w14:ligatures w14:val="standardContextual"/>
            </w:rPr>
          </w:pPr>
          <w:hyperlink w:anchor="_Toc238477335" w:history="1">
            <w:r w:rsidRPr="00B14F4C">
              <w:rPr>
                <w:rStyle w:val="Lienhypertexte"/>
                <w:rFonts w:ascii="Calibri" w:eastAsia="Cambria" w:hAnsi="Calibri" w:cs="Calibri"/>
                <w:bCs/>
                <w:noProof/>
                <w:color w:val="auto"/>
                <w:sz w:val="22"/>
                <w:szCs w:val="22"/>
              </w:rPr>
              <w:t>2.5 Robustesse de l'échange</w:t>
            </w:r>
            <w:r w:rsidRPr="00B14F4C">
              <w:rPr>
                <w:rFonts w:ascii="Calibri" w:hAnsi="Calibri" w:cs="Calibri"/>
                <w:bCs/>
                <w:noProof/>
                <w:webHidden/>
                <w:sz w:val="22"/>
                <w:szCs w:val="22"/>
              </w:rPr>
              <w:tab/>
            </w:r>
            <w:r w:rsidRPr="00B14F4C">
              <w:rPr>
                <w:rFonts w:ascii="Calibri" w:hAnsi="Calibri" w:cs="Calibri"/>
                <w:bCs/>
                <w:noProof/>
                <w:webHidden/>
                <w:sz w:val="22"/>
                <w:szCs w:val="22"/>
              </w:rPr>
              <w:fldChar w:fldCharType="begin"/>
            </w:r>
            <w:r w:rsidRPr="00B14F4C">
              <w:rPr>
                <w:rFonts w:ascii="Calibri" w:hAnsi="Calibri" w:cs="Calibri"/>
                <w:bCs/>
                <w:noProof/>
                <w:webHidden/>
                <w:sz w:val="22"/>
                <w:szCs w:val="22"/>
              </w:rPr>
              <w:instrText xml:space="preserve"> PAGEREF _Toc238477335 \h </w:instrText>
            </w:r>
            <w:r w:rsidRPr="00B14F4C">
              <w:rPr>
                <w:rFonts w:ascii="Calibri" w:hAnsi="Calibri" w:cs="Calibri"/>
                <w:bCs/>
                <w:noProof/>
                <w:webHidden/>
                <w:sz w:val="22"/>
                <w:szCs w:val="22"/>
              </w:rPr>
            </w:r>
            <w:r w:rsidRPr="00B14F4C">
              <w:rPr>
                <w:rFonts w:ascii="Calibri" w:hAnsi="Calibri" w:cs="Calibri"/>
                <w:bCs/>
                <w:noProof/>
                <w:webHidden/>
                <w:sz w:val="22"/>
                <w:szCs w:val="22"/>
              </w:rPr>
              <w:fldChar w:fldCharType="separate"/>
            </w:r>
            <w:r w:rsidRPr="00B14F4C">
              <w:rPr>
                <w:rFonts w:ascii="Calibri" w:hAnsi="Calibri" w:cs="Calibri"/>
                <w:bCs/>
                <w:noProof/>
                <w:webHidden/>
                <w:sz w:val="22"/>
                <w:szCs w:val="22"/>
              </w:rPr>
              <w:t>7</w:t>
            </w:r>
            <w:r w:rsidRPr="00B14F4C">
              <w:rPr>
                <w:rFonts w:ascii="Calibri" w:hAnsi="Calibri" w:cs="Calibri"/>
                <w:bCs/>
                <w:noProof/>
                <w:webHidden/>
                <w:sz w:val="22"/>
                <w:szCs w:val="22"/>
              </w:rPr>
              <w:fldChar w:fldCharType="end"/>
            </w:r>
          </w:hyperlink>
        </w:p>
        <w:p w14:paraId="5CA445F1" w14:textId="36D52DB6" w:rsidR="00B14F4C" w:rsidRPr="00B14F4C" w:rsidRDefault="00B14F4C">
          <w:pPr>
            <w:pStyle w:val="TM1"/>
            <w:tabs>
              <w:tab w:val="right" w:leader="dot" w:pos="9296"/>
            </w:tabs>
            <w:rPr>
              <w:rFonts w:ascii="Calibri" w:hAnsi="Calibri" w:cs="Calibri"/>
              <w:bCs/>
              <w:noProof/>
              <w:kern w:val="2"/>
              <w14:ligatures w14:val="standardContextual"/>
            </w:rPr>
          </w:pPr>
          <w:hyperlink w:anchor="_Toc238477336" w:history="1">
            <w:r w:rsidRPr="00B14F4C">
              <w:rPr>
                <w:rStyle w:val="Lienhypertexte"/>
                <w:rFonts w:ascii="Calibri" w:eastAsia="Cambria" w:hAnsi="Calibri" w:cs="Calibri"/>
                <w:bCs/>
                <w:noProof/>
                <w:color w:val="auto"/>
              </w:rPr>
              <w:t>Chapitre 3 : Tests de charge et rejouabilité (Test Bench / Seed)</w:t>
            </w:r>
            <w:r w:rsidRPr="00B14F4C">
              <w:rPr>
                <w:rFonts w:ascii="Calibri" w:hAnsi="Calibri" w:cs="Calibri"/>
                <w:bCs/>
                <w:noProof/>
                <w:webHidden/>
              </w:rPr>
              <w:tab/>
            </w:r>
            <w:r w:rsidRPr="00B14F4C">
              <w:rPr>
                <w:rFonts w:ascii="Calibri" w:hAnsi="Calibri" w:cs="Calibri"/>
                <w:bCs/>
                <w:noProof/>
                <w:webHidden/>
              </w:rPr>
              <w:fldChar w:fldCharType="begin"/>
            </w:r>
            <w:r w:rsidRPr="00B14F4C">
              <w:rPr>
                <w:rFonts w:ascii="Calibri" w:hAnsi="Calibri" w:cs="Calibri"/>
                <w:bCs/>
                <w:noProof/>
                <w:webHidden/>
              </w:rPr>
              <w:instrText xml:space="preserve"> PAGEREF _Toc238477336 \h </w:instrText>
            </w:r>
            <w:r w:rsidRPr="00B14F4C">
              <w:rPr>
                <w:rFonts w:ascii="Calibri" w:hAnsi="Calibri" w:cs="Calibri"/>
                <w:bCs/>
                <w:noProof/>
                <w:webHidden/>
              </w:rPr>
            </w:r>
            <w:r w:rsidRPr="00B14F4C">
              <w:rPr>
                <w:rFonts w:ascii="Calibri" w:hAnsi="Calibri" w:cs="Calibri"/>
                <w:bCs/>
                <w:noProof/>
                <w:webHidden/>
              </w:rPr>
              <w:fldChar w:fldCharType="separate"/>
            </w:r>
            <w:r w:rsidRPr="00B14F4C">
              <w:rPr>
                <w:rFonts w:ascii="Calibri" w:hAnsi="Calibri" w:cs="Calibri"/>
                <w:bCs/>
                <w:noProof/>
                <w:webHidden/>
              </w:rPr>
              <w:t>7</w:t>
            </w:r>
            <w:r w:rsidRPr="00B14F4C">
              <w:rPr>
                <w:rFonts w:ascii="Calibri" w:hAnsi="Calibri" w:cs="Calibri"/>
                <w:bCs/>
                <w:noProof/>
                <w:webHidden/>
              </w:rPr>
              <w:fldChar w:fldCharType="end"/>
            </w:r>
          </w:hyperlink>
        </w:p>
        <w:p w14:paraId="251C18BA" w14:textId="70E995CF" w:rsidR="00B14F4C" w:rsidRPr="00B14F4C" w:rsidRDefault="00B14F4C">
          <w:pPr>
            <w:pStyle w:val="TM2"/>
            <w:tabs>
              <w:tab w:val="right" w:leader="dot" w:pos="9296"/>
            </w:tabs>
            <w:rPr>
              <w:rFonts w:ascii="Calibri" w:eastAsiaTheme="minorEastAsia" w:hAnsi="Calibri" w:cs="Calibri"/>
              <w:bCs/>
              <w:noProof/>
              <w:kern w:val="2"/>
              <w:sz w:val="22"/>
              <w:szCs w:val="22"/>
              <w14:ligatures w14:val="standardContextual"/>
            </w:rPr>
          </w:pPr>
          <w:hyperlink w:anchor="_Toc238477337" w:history="1">
            <w:r w:rsidRPr="00B14F4C">
              <w:rPr>
                <w:rStyle w:val="Lienhypertexte"/>
                <w:rFonts w:ascii="Calibri" w:eastAsia="Cambria" w:hAnsi="Calibri" w:cs="Calibri"/>
                <w:bCs/>
                <w:noProof/>
                <w:color w:val="auto"/>
                <w:sz w:val="22"/>
                <w:szCs w:val="22"/>
              </w:rPr>
              <w:t>3.1 Le banc d'essai (Test Bench)</w:t>
            </w:r>
            <w:r w:rsidRPr="00B14F4C">
              <w:rPr>
                <w:rFonts w:ascii="Calibri" w:hAnsi="Calibri" w:cs="Calibri"/>
                <w:bCs/>
                <w:noProof/>
                <w:webHidden/>
                <w:sz w:val="22"/>
                <w:szCs w:val="22"/>
              </w:rPr>
              <w:tab/>
            </w:r>
            <w:r w:rsidRPr="00B14F4C">
              <w:rPr>
                <w:rFonts w:ascii="Calibri" w:hAnsi="Calibri" w:cs="Calibri"/>
                <w:bCs/>
                <w:noProof/>
                <w:webHidden/>
                <w:sz w:val="22"/>
                <w:szCs w:val="22"/>
              </w:rPr>
              <w:fldChar w:fldCharType="begin"/>
            </w:r>
            <w:r w:rsidRPr="00B14F4C">
              <w:rPr>
                <w:rFonts w:ascii="Calibri" w:hAnsi="Calibri" w:cs="Calibri"/>
                <w:bCs/>
                <w:noProof/>
                <w:webHidden/>
                <w:sz w:val="22"/>
                <w:szCs w:val="22"/>
              </w:rPr>
              <w:instrText xml:space="preserve"> PAGEREF _Toc238477337 \h </w:instrText>
            </w:r>
            <w:r w:rsidRPr="00B14F4C">
              <w:rPr>
                <w:rFonts w:ascii="Calibri" w:hAnsi="Calibri" w:cs="Calibri"/>
                <w:bCs/>
                <w:noProof/>
                <w:webHidden/>
                <w:sz w:val="22"/>
                <w:szCs w:val="22"/>
              </w:rPr>
            </w:r>
            <w:r w:rsidRPr="00B14F4C">
              <w:rPr>
                <w:rFonts w:ascii="Calibri" w:hAnsi="Calibri" w:cs="Calibri"/>
                <w:bCs/>
                <w:noProof/>
                <w:webHidden/>
                <w:sz w:val="22"/>
                <w:szCs w:val="22"/>
              </w:rPr>
              <w:fldChar w:fldCharType="separate"/>
            </w:r>
            <w:r w:rsidRPr="00B14F4C">
              <w:rPr>
                <w:rFonts w:ascii="Calibri" w:hAnsi="Calibri" w:cs="Calibri"/>
                <w:bCs/>
                <w:noProof/>
                <w:webHidden/>
                <w:sz w:val="22"/>
                <w:szCs w:val="22"/>
              </w:rPr>
              <w:t>7</w:t>
            </w:r>
            <w:r w:rsidRPr="00B14F4C">
              <w:rPr>
                <w:rFonts w:ascii="Calibri" w:hAnsi="Calibri" w:cs="Calibri"/>
                <w:bCs/>
                <w:noProof/>
                <w:webHidden/>
                <w:sz w:val="22"/>
                <w:szCs w:val="22"/>
              </w:rPr>
              <w:fldChar w:fldCharType="end"/>
            </w:r>
          </w:hyperlink>
        </w:p>
        <w:p w14:paraId="41ED59CF" w14:textId="480B517E" w:rsidR="00B14F4C" w:rsidRPr="00B14F4C" w:rsidRDefault="00B14F4C">
          <w:pPr>
            <w:pStyle w:val="TM2"/>
            <w:tabs>
              <w:tab w:val="right" w:leader="dot" w:pos="9296"/>
            </w:tabs>
            <w:rPr>
              <w:rFonts w:ascii="Calibri" w:eastAsiaTheme="minorEastAsia" w:hAnsi="Calibri" w:cs="Calibri"/>
              <w:bCs/>
              <w:noProof/>
              <w:kern w:val="2"/>
              <w:sz w:val="22"/>
              <w:szCs w:val="22"/>
              <w14:ligatures w14:val="standardContextual"/>
            </w:rPr>
          </w:pPr>
          <w:hyperlink w:anchor="_Toc238477338" w:history="1">
            <w:r w:rsidRPr="00B14F4C">
              <w:rPr>
                <w:rStyle w:val="Lienhypertexte"/>
                <w:rFonts w:ascii="Calibri" w:eastAsia="Cambria" w:hAnsi="Calibri" w:cs="Calibri"/>
                <w:bCs/>
                <w:noProof/>
                <w:color w:val="auto"/>
                <w:sz w:val="22"/>
                <w:szCs w:val="22"/>
              </w:rPr>
              <w:t>3.2 La graine de génération (Seed)</w:t>
            </w:r>
            <w:r w:rsidRPr="00B14F4C">
              <w:rPr>
                <w:rFonts w:ascii="Calibri" w:hAnsi="Calibri" w:cs="Calibri"/>
                <w:bCs/>
                <w:noProof/>
                <w:webHidden/>
                <w:sz w:val="22"/>
                <w:szCs w:val="22"/>
              </w:rPr>
              <w:tab/>
            </w:r>
            <w:r w:rsidRPr="00B14F4C">
              <w:rPr>
                <w:rFonts w:ascii="Calibri" w:hAnsi="Calibri" w:cs="Calibri"/>
                <w:bCs/>
                <w:noProof/>
                <w:webHidden/>
                <w:sz w:val="22"/>
                <w:szCs w:val="22"/>
              </w:rPr>
              <w:fldChar w:fldCharType="begin"/>
            </w:r>
            <w:r w:rsidRPr="00B14F4C">
              <w:rPr>
                <w:rFonts w:ascii="Calibri" w:hAnsi="Calibri" w:cs="Calibri"/>
                <w:bCs/>
                <w:noProof/>
                <w:webHidden/>
                <w:sz w:val="22"/>
                <w:szCs w:val="22"/>
              </w:rPr>
              <w:instrText xml:space="preserve"> PAGEREF _Toc238477338 \h </w:instrText>
            </w:r>
            <w:r w:rsidRPr="00B14F4C">
              <w:rPr>
                <w:rFonts w:ascii="Calibri" w:hAnsi="Calibri" w:cs="Calibri"/>
                <w:bCs/>
                <w:noProof/>
                <w:webHidden/>
                <w:sz w:val="22"/>
                <w:szCs w:val="22"/>
              </w:rPr>
            </w:r>
            <w:r w:rsidRPr="00B14F4C">
              <w:rPr>
                <w:rFonts w:ascii="Calibri" w:hAnsi="Calibri" w:cs="Calibri"/>
                <w:bCs/>
                <w:noProof/>
                <w:webHidden/>
                <w:sz w:val="22"/>
                <w:szCs w:val="22"/>
              </w:rPr>
              <w:fldChar w:fldCharType="separate"/>
            </w:r>
            <w:r w:rsidRPr="00B14F4C">
              <w:rPr>
                <w:rFonts w:ascii="Calibri" w:hAnsi="Calibri" w:cs="Calibri"/>
                <w:bCs/>
                <w:noProof/>
                <w:webHidden/>
                <w:sz w:val="22"/>
                <w:szCs w:val="22"/>
              </w:rPr>
              <w:t>8</w:t>
            </w:r>
            <w:r w:rsidRPr="00B14F4C">
              <w:rPr>
                <w:rFonts w:ascii="Calibri" w:hAnsi="Calibri" w:cs="Calibri"/>
                <w:bCs/>
                <w:noProof/>
                <w:webHidden/>
                <w:sz w:val="22"/>
                <w:szCs w:val="22"/>
              </w:rPr>
              <w:fldChar w:fldCharType="end"/>
            </w:r>
          </w:hyperlink>
        </w:p>
        <w:p w14:paraId="499B238E" w14:textId="06B539DB" w:rsidR="00B14F4C" w:rsidRPr="00B14F4C" w:rsidRDefault="00B14F4C">
          <w:pPr>
            <w:pStyle w:val="TM2"/>
            <w:tabs>
              <w:tab w:val="right" w:leader="dot" w:pos="9296"/>
            </w:tabs>
            <w:rPr>
              <w:rFonts w:ascii="Calibri" w:eastAsiaTheme="minorEastAsia" w:hAnsi="Calibri" w:cs="Calibri"/>
              <w:bCs/>
              <w:noProof/>
              <w:kern w:val="2"/>
              <w:sz w:val="22"/>
              <w:szCs w:val="22"/>
              <w14:ligatures w14:val="standardContextual"/>
            </w:rPr>
          </w:pPr>
          <w:hyperlink w:anchor="_Toc238477339" w:history="1">
            <w:r w:rsidRPr="00B14F4C">
              <w:rPr>
                <w:rStyle w:val="Lienhypertexte"/>
                <w:rFonts w:ascii="Calibri" w:eastAsia="Cambria" w:hAnsi="Calibri" w:cs="Calibri"/>
                <w:bCs/>
                <w:noProof/>
                <w:color w:val="auto"/>
                <w:sz w:val="22"/>
                <w:szCs w:val="22"/>
              </w:rPr>
              <w:t>3.3 Pourquoi la rejouabilité est indispensable</w:t>
            </w:r>
            <w:r w:rsidRPr="00B14F4C">
              <w:rPr>
                <w:rFonts w:ascii="Calibri" w:hAnsi="Calibri" w:cs="Calibri"/>
                <w:bCs/>
                <w:noProof/>
                <w:webHidden/>
                <w:sz w:val="22"/>
                <w:szCs w:val="22"/>
              </w:rPr>
              <w:tab/>
            </w:r>
            <w:r w:rsidRPr="00B14F4C">
              <w:rPr>
                <w:rFonts w:ascii="Calibri" w:hAnsi="Calibri" w:cs="Calibri"/>
                <w:bCs/>
                <w:noProof/>
                <w:webHidden/>
                <w:sz w:val="22"/>
                <w:szCs w:val="22"/>
              </w:rPr>
              <w:fldChar w:fldCharType="begin"/>
            </w:r>
            <w:r w:rsidRPr="00B14F4C">
              <w:rPr>
                <w:rFonts w:ascii="Calibri" w:hAnsi="Calibri" w:cs="Calibri"/>
                <w:bCs/>
                <w:noProof/>
                <w:webHidden/>
                <w:sz w:val="22"/>
                <w:szCs w:val="22"/>
              </w:rPr>
              <w:instrText xml:space="preserve"> PAGEREF _Toc238477339 \h </w:instrText>
            </w:r>
            <w:r w:rsidRPr="00B14F4C">
              <w:rPr>
                <w:rFonts w:ascii="Calibri" w:hAnsi="Calibri" w:cs="Calibri"/>
                <w:bCs/>
                <w:noProof/>
                <w:webHidden/>
                <w:sz w:val="22"/>
                <w:szCs w:val="22"/>
              </w:rPr>
            </w:r>
            <w:r w:rsidRPr="00B14F4C">
              <w:rPr>
                <w:rFonts w:ascii="Calibri" w:hAnsi="Calibri" w:cs="Calibri"/>
                <w:bCs/>
                <w:noProof/>
                <w:webHidden/>
                <w:sz w:val="22"/>
                <w:szCs w:val="22"/>
              </w:rPr>
              <w:fldChar w:fldCharType="separate"/>
            </w:r>
            <w:r w:rsidRPr="00B14F4C">
              <w:rPr>
                <w:rFonts w:ascii="Calibri" w:hAnsi="Calibri" w:cs="Calibri"/>
                <w:bCs/>
                <w:noProof/>
                <w:webHidden/>
                <w:sz w:val="22"/>
                <w:szCs w:val="22"/>
              </w:rPr>
              <w:t>8</w:t>
            </w:r>
            <w:r w:rsidRPr="00B14F4C">
              <w:rPr>
                <w:rFonts w:ascii="Calibri" w:hAnsi="Calibri" w:cs="Calibri"/>
                <w:bCs/>
                <w:noProof/>
                <w:webHidden/>
                <w:sz w:val="22"/>
                <w:szCs w:val="22"/>
              </w:rPr>
              <w:fldChar w:fldCharType="end"/>
            </w:r>
          </w:hyperlink>
        </w:p>
        <w:p w14:paraId="5FAFD1C1" w14:textId="54692948" w:rsidR="00B14F4C" w:rsidRPr="00B14F4C" w:rsidRDefault="00B14F4C">
          <w:pPr>
            <w:pStyle w:val="TM2"/>
            <w:tabs>
              <w:tab w:val="right" w:leader="dot" w:pos="9296"/>
            </w:tabs>
            <w:rPr>
              <w:rFonts w:ascii="Calibri" w:eastAsiaTheme="minorEastAsia" w:hAnsi="Calibri" w:cs="Calibri"/>
              <w:bCs/>
              <w:noProof/>
              <w:kern w:val="2"/>
              <w:sz w:val="22"/>
              <w:szCs w:val="22"/>
              <w14:ligatures w14:val="standardContextual"/>
            </w:rPr>
          </w:pPr>
          <w:hyperlink w:anchor="_Toc238477340" w:history="1">
            <w:r w:rsidRPr="00B14F4C">
              <w:rPr>
                <w:rStyle w:val="Lienhypertexte"/>
                <w:rFonts w:ascii="Calibri" w:eastAsia="Cambria" w:hAnsi="Calibri" w:cs="Calibri"/>
                <w:bCs/>
                <w:noProof/>
                <w:color w:val="auto"/>
                <w:sz w:val="22"/>
                <w:szCs w:val="22"/>
              </w:rPr>
              <w:t>3.4 Robustesse du banc d'essai lui-même</w:t>
            </w:r>
            <w:r w:rsidRPr="00B14F4C">
              <w:rPr>
                <w:rFonts w:ascii="Calibri" w:hAnsi="Calibri" w:cs="Calibri"/>
                <w:bCs/>
                <w:noProof/>
                <w:webHidden/>
                <w:sz w:val="22"/>
                <w:szCs w:val="22"/>
              </w:rPr>
              <w:tab/>
            </w:r>
            <w:r w:rsidRPr="00B14F4C">
              <w:rPr>
                <w:rFonts w:ascii="Calibri" w:hAnsi="Calibri" w:cs="Calibri"/>
                <w:bCs/>
                <w:noProof/>
                <w:webHidden/>
                <w:sz w:val="22"/>
                <w:szCs w:val="22"/>
              </w:rPr>
              <w:fldChar w:fldCharType="begin"/>
            </w:r>
            <w:r w:rsidRPr="00B14F4C">
              <w:rPr>
                <w:rFonts w:ascii="Calibri" w:hAnsi="Calibri" w:cs="Calibri"/>
                <w:bCs/>
                <w:noProof/>
                <w:webHidden/>
                <w:sz w:val="22"/>
                <w:szCs w:val="22"/>
              </w:rPr>
              <w:instrText xml:space="preserve"> PAGEREF _Toc238477340 \h </w:instrText>
            </w:r>
            <w:r w:rsidRPr="00B14F4C">
              <w:rPr>
                <w:rFonts w:ascii="Calibri" w:hAnsi="Calibri" w:cs="Calibri"/>
                <w:bCs/>
                <w:noProof/>
                <w:webHidden/>
                <w:sz w:val="22"/>
                <w:szCs w:val="22"/>
              </w:rPr>
            </w:r>
            <w:r w:rsidRPr="00B14F4C">
              <w:rPr>
                <w:rFonts w:ascii="Calibri" w:hAnsi="Calibri" w:cs="Calibri"/>
                <w:bCs/>
                <w:noProof/>
                <w:webHidden/>
                <w:sz w:val="22"/>
                <w:szCs w:val="22"/>
              </w:rPr>
              <w:fldChar w:fldCharType="separate"/>
            </w:r>
            <w:r w:rsidRPr="00B14F4C">
              <w:rPr>
                <w:rFonts w:ascii="Calibri" w:hAnsi="Calibri" w:cs="Calibri"/>
                <w:bCs/>
                <w:noProof/>
                <w:webHidden/>
                <w:sz w:val="22"/>
                <w:szCs w:val="22"/>
              </w:rPr>
              <w:t>8</w:t>
            </w:r>
            <w:r w:rsidRPr="00B14F4C">
              <w:rPr>
                <w:rFonts w:ascii="Calibri" w:hAnsi="Calibri" w:cs="Calibri"/>
                <w:bCs/>
                <w:noProof/>
                <w:webHidden/>
                <w:sz w:val="22"/>
                <w:szCs w:val="22"/>
              </w:rPr>
              <w:fldChar w:fldCharType="end"/>
            </w:r>
          </w:hyperlink>
        </w:p>
        <w:p w14:paraId="7E693967" w14:textId="770ECAC7" w:rsidR="003F1DD4" w:rsidRDefault="003F1DD4" w:rsidP="003F1DD4">
          <w:pPr>
            <w:rPr>
              <w:bCs/>
            </w:rPr>
          </w:pPr>
          <w:r w:rsidRPr="00B14F4C">
            <w:rPr>
              <w:bCs/>
              <w:color w:val="auto"/>
            </w:rPr>
            <w:fldChar w:fldCharType="end"/>
          </w:r>
        </w:p>
      </w:sdtContent>
    </w:sdt>
    <w:p w14:paraId="25CC248C" w14:textId="77777777" w:rsidR="000D4E74" w:rsidRDefault="00FE0062">
      <w:r>
        <w:br w:type="page"/>
      </w:r>
    </w:p>
    <w:p w14:paraId="23A2D9B7" w14:textId="77777777" w:rsidR="000D4E74" w:rsidRPr="00224EAE" w:rsidRDefault="00E07B8B">
      <w:pPr>
        <w:pStyle w:val="Titre1"/>
        <w:pBdr>
          <w:bottom w:val="single" w:sz="8" w:space="6" w:color="C9752B"/>
        </w:pBdr>
        <w:spacing w:before="320" w:after="200"/>
        <w:rPr>
          <w:rFonts w:ascii="Cambria" w:eastAsia="Cambria" w:hAnsi="Cambria" w:cs="Cambria"/>
          <w:b/>
          <w:bCs/>
          <w:color w:val="000000" w:themeColor="text1"/>
          <w:sz w:val="30"/>
          <w:szCs w:val="30"/>
        </w:rPr>
      </w:pPr>
      <w:bookmarkStart w:id="0" w:name="_Toc238477327"/>
      <w:r w:rsidRPr="00224EAE">
        <w:rPr>
          <w:rFonts w:ascii="Cambria" w:eastAsia="Cambria" w:hAnsi="Cambria" w:cs="Cambria"/>
          <w:b/>
          <w:bCs/>
          <w:color w:val="000000" w:themeColor="text1"/>
          <w:sz w:val="30"/>
          <w:szCs w:val="30"/>
        </w:rPr>
        <w:lastRenderedPageBreak/>
        <w:t>Q</w:t>
      </w:r>
      <w:r w:rsidR="00FE0062" w:rsidRPr="00224EAE">
        <w:rPr>
          <w:rFonts w:ascii="Cambria" w:eastAsia="Cambria" w:hAnsi="Cambria" w:cs="Cambria"/>
          <w:b/>
          <w:bCs/>
          <w:color w:val="000000" w:themeColor="text1"/>
          <w:sz w:val="30"/>
          <w:szCs w:val="30"/>
        </w:rPr>
        <w:t>u'est-ce qu'une campagne de test ?</w:t>
      </w:r>
      <w:bookmarkEnd w:id="0"/>
    </w:p>
    <w:tbl>
      <w:tblPr>
        <w:tblW w:w="9350" w:type="dxa"/>
        <w:tblBorders>
          <w:top w:val="single" w:sz="4" w:space="0" w:color="1E2761"/>
          <w:left w:val="single" w:sz="4" w:space="0" w:color="1E2761"/>
          <w:bottom w:val="single" w:sz="4" w:space="0" w:color="1E2761"/>
          <w:right w:val="single" w:sz="4" w:space="0" w:color="1E2761"/>
        </w:tblBorders>
        <w:tblCellMar>
          <w:left w:w="10" w:type="dxa"/>
          <w:right w:w="10" w:type="dxa"/>
        </w:tblCellMar>
        <w:tblLook w:val="04A0" w:firstRow="1" w:lastRow="0" w:firstColumn="1" w:lastColumn="0" w:noHBand="0" w:noVBand="1"/>
      </w:tblPr>
      <w:tblGrid>
        <w:gridCol w:w="9350"/>
      </w:tblGrid>
      <w:tr w:rsidR="000D4E74" w14:paraId="6A11F68A" w14:textId="77777777">
        <w:tc>
          <w:tcPr>
            <w:tcW w:w="9350" w:type="dxa"/>
            <w:shd w:val="clear" w:color="auto" w:fill="F3F6FC"/>
            <w:tcMar>
              <w:top w:w="160" w:type="dxa"/>
              <w:left w:w="220" w:type="dxa"/>
              <w:bottom w:w="160" w:type="dxa"/>
              <w:right w:w="220" w:type="dxa"/>
            </w:tcMar>
          </w:tcPr>
          <w:p w14:paraId="39870691" w14:textId="77777777" w:rsidR="000D4E74" w:rsidRDefault="00FE0062">
            <w:pPr>
              <w:spacing w:after="80"/>
            </w:pPr>
            <w:r>
              <w:rPr>
                <w:b/>
                <w:bCs/>
                <w:color w:val="1E2761"/>
                <w:sz w:val="21"/>
                <w:szCs w:val="21"/>
              </w:rPr>
              <w:t>Définition</w:t>
            </w:r>
          </w:p>
          <w:p w14:paraId="0C13AE4A" w14:textId="77777777" w:rsidR="000D4E74" w:rsidRDefault="00FE0062">
            <w:r w:rsidRPr="00E07B8B">
              <w:rPr>
                <w:b/>
                <w:bCs/>
                <w:sz w:val="20"/>
                <w:szCs w:val="20"/>
              </w:rPr>
              <w:t>Une campagne</w:t>
            </w:r>
            <w:r>
              <w:rPr>
                <w:sz w:val="20"/>
                <w:szCs w:val="20"/>
              </w:rPr>
              <w:t xml:space="preserve"> de test est une exécution complète du cycle décrit au chapitre 1 : génération d'un jeu de données piégé, transmission à l'outil testé, réception de son rapport, et comparaison avec le corrigé. Une campagne regroupe, en une seule unité traçable : le jeu de données généré, le corrigé associé, les paramètres utilisés (dimensions testées, taux d'anomalies, volume, graine), le rapport reçu de l'outil testé, et le résultat du rapprochement. Chaque campagne porte un identifiant unique et un horodatage.</w:t>
            </w:r>
          </w:p>
        </w:tc>
      </w:tr>
    </w:tbl>
    <w:p w14:paraId="4E2C0C09" w14:textId="77777777" w:rsidR="00E07B8B" w:rsidRDefault="00FE0062" w:rsidP="00E07B8B">
      <w:pPr>
        <w:spacing w:line="281" w:lineRule="auto"/>
        <w:jc w:val="both"/>
      </w:pPr>
      <w:r>
        <w:t>C'est cette notion de campagne, comme unité indivisible et traçable</w:t>
      </w:r>
      <w:r w:rsidR="00E07B8B">
        <w:t xml:space="preserve"> </w:t>
      </w:r>
      <w:r>
        <w:t xml:space="preserve">rend possibles plusieurs mécaniques présentées plus loin : </w:t>
      </w:r>
    </w:p>
    <w:p w14:paraId="0AD6916F" w14:textId="77777777" w:rsidR="00E07B8B" w:rsidRDefault="00E07B8B" w:rsidP="00E07B8B">
      <w:pPr>
        <w:pStyle w:val="Paragraphedeliste"/>
        <w:numPr>
          <w:ilvl w:val="0"/>
          <w:numId w:val="4"/>
        </w:numPr>
        <w:spacing w:line="281" w:lineRule="auto"/>
        <w:ind w:left="714" w:hanging="357"/>
        <w:jc w:val="both"/>
      </w:pPr>
      <w:r>
        <w:t>Comparer</w:t>
      </w:r>
      <w:r w:rsidR="00FE0062">
        <w:t xml:space="preserve"> deux campagnes entre elles, </w:t>
      </w:r>
    </w:p>
    <w:p w14:paraId="649612D5" w14:textId="77777777" w:rsidR="00E07B8B" w:rsidRDefault="00E07B8B" w:rsidP="00E07B8B">
      <w:pPr>
        <w:pStyle w:val="Paragraphedeliste"/>
        <w:numPr>
          <w:ilvl w:val="0"/>
          <w:numId w:val="4"/>
        </w:numPr>
        <w:spacing w:line="281" w:lineRule="auto"/>
        <w:ind w:left="714" w:hanging="357"/>
        <w:jc w:val="both"/>
      </w:pPr>
      <w:r>
        <w:t>Rejouer</w:t>
      </w:r>
      <w:r w:rsidR="00FE0062">
        <w:t xml:space="preserve"> une campagne à l'identique grâce à sa graine (chapitre 3), </w:t>
      </w:r>
    </w:p>
    <w:p w14:paraId="6C5D6877" w14:textId="77777777" w:rsidR="000D4E74" w:rsidRDefault="00E07B8B" w:rsidP="00E07B8B">
      <w:pPr>
        <w:pStyle w:val="Paragraphedeliste"/>
        <w:numPr>
          <w:ilvl w:val="0"/>
          <w:numId w:val="4"/>
        </w:numPr>
        <w:spacing w:line="281" w:lineRule="auto"/>
        <w:ind w:left="714" w:hanging="357"/>
        <w:jc w:val="both"/>
      </w:pPr>
      <w:r>
        <w:t>R</w:t>
      </w:r>
      <w:r w:rsidR="00FE0062">
        <w:t>etrouver le détail exact d'une campagne réalisée plusieurs semaines auparavant (chapitre 3).</w:t>
      </w:r>
    </w:p>
    <w:p w14:paraId="567D9D6F" w14:textId="77777777" w:rsidR="000D4E74" w:rsidRPr="00224EAE" w:rsidRDefault="00FE0062">
      <w:pPr>
        <w:pStyle w:val="Titre1"/>
        <w:pBdr>
          <w:bottom w:val="single" w:sz="8" w:space="6" w:color="C9752B"/>
        </w:pBdr>
        <w:spacing w:before="320" w:after="200"/>
        <w:rPr>
          <w:color w:val="000000" w:themeColor="text1"/>
        </w:rPr>
      </w:pPr>
      <w:bookmarkStart w:id="1" w:name="_Toc238477328"/>
      <w:r w:rsidRPr="00224EAE">
        <w:rPr>
          <w:rFonts w:ascii="Cambria" w:eastAsia="Cambria" w:hAnsi="Cambria" w:cs="Cambria"/>
          <w:b/>
          <w:bCs/>
          <w:color w:val="000000" w:themeColor="text1"/>
          <w:sz w:val="30"/>
          <w:szCs w:val="30"/>
        </w:rPr>
        <w:t>Chapitre 1</w:t>
      </w:r>
      <w:r w:rsidR="00E07B8B" w:rsidRPr="00224EAE">
        <w:rPr>
          <w:rFonts w:ascii="Cambria" w:eastAsia="Cambria" w:hAnsi="Cambria" w:cs="Cambria"/>
          <w:b/>
          <w:bCs/>
          <w:color w:val="000000" w:themeColor="text1"/>
          <w:sz w:val="30"/>
          <w:szCs w:val="30"/>
        </w:rPr>
        <w:t xml:space="preserve"> : </w:t>
      </w:r>
      <w:r w:rsidRPr="00224EAE">
        <w:rPr>
          <w:rFonts w:ascii="Cambria" w:eastAsia="Cambria" w:hAnsi="Cambria" w:cs="Cambria"/>
          <w:b/>
          <w:bCs/>
          <w:color w:val="000000" w:themeColor="text1"/>
          <w:sz w:val="30"/>
          <w:szCs w:val="30"/>
        </w:rPr>
        <w:t xml:space="preserve"> Tester l'outil de Qualité des Données : le principe du « corrigé »</w:t>
      </w:r>
      <w:bookmarkEnd w:id="1"/>
    </w:p>
    <w:p w14:paraId="2C0D7D13" w14:textId="77777777" w:rsidR="000D4E74" w:rsidRDefault="00FE0062">
      <w:pPr>
        <w:spacing w:after="160" w:line="280" w:lineRule="auto"/>
      </w:pPr>
      <w:r>
        <w:rPr>
          <w:b/>
          <w:bCs/>
        </w:rPr>
        <w:t xml:space="preserve">L'objectif principal : </w:t>
      </w:r>
      <w:r>
        <w:t>répondre à une question fondamentale :</w:t>
      </w:r>
      <w:r w:rsidRPr="00E07B8B">
        <w:rPr>
          <w:b/>
          <w:bCs/>
        </w:rPr>
        <w:t xml:space="preserve"> « Le système chargé de repérer les erreurs dans nos données fait-il vraiment bien son travail ? »</w:t>
      </w:r>
    </w:p>
    <w:p w14:paraId="1C83FBE6" w14:textId="77777777" w:rsidR="000D4E74" w:rsidRDefault="00FE0062">
      <w:pPr>
        <w:spacing w:after="160" w:line="280" w:lineRule="auto"/>
        <w:jc w:val="both"/>
      </w:pPr>
      <w:r>
        <w:t>Pour le savoir, le simulateur fonctionne comme un banc d'essai sur le principe du « test piégé</w:t>
      </w:r>
      <w:r w:rsidR="00E07B8B">
        <w:t>/données erronées</w:t>
      </w:r>
      <w:r>
        <w:t xml:space="preserve"> » :</w:t>
      </w:r>
    </w:p>
    <w:p w14:paraId="0E6370AA" w14:textId="77777777" w:rsidR="000D4E74" w:rsidRDefault="00FE0062">
      <w:pPr>
        <w:pStyle w:val="Paragraphedeliste"/>
        <w:numPr>
          <w:ilvl w:val="0"/>
          <w:numId w:val="2"/>
        </w:numPr>
        <w:spacing w:after="90" w:line="270" w:lineRule="auto"/>
      </w:pPr>
      <w:r>
        <w:t>Création du jeu de données : le simulateur fabrique un jeu de données 100 % fictif mais totalement réaliste, basé sur les tables du parcours bénéficiaire (fiches assurés</w:t>
      </w:r>
      <w:r w:rsidR="00CF7A2E">
        <w:t xml:space="preserve"> </w:t>
      </w:r>
      <w:r>
        <w:t xml:space="preserve">/bénéficiaires, professionnels de santé, prestations/remboursements, et </w:t>
      </w:r>
      <w:r w:rsidR="00CF7A2E">
        <w:t xml:space="preserve">déclaration des </w:t>
      </w:r>
      <w:r>
        <w:t>cotisations</w:t>
      </w:r>
      <w:r w:rsidR="00CF7A2E">
        <w:t>/Paiement</w:t>
      </w:r>
      <w:r>
        <w:t>).</w:t>
      </w:r>
    </w:p>
    <w:p w14:paraId="17E5CF86" w14:textId="77777777" w:rsidR="000D4E74" w:rsidRDefault="00FE0062">
      <w:pPr>
        <w:pStyle w:val="Paragraphedeliste"/>
        <w:numPr>
          <w:ilvl w:val="0"/>
          <w:numId w:val="2"/>
        </w:numPr>
        <w:spacing w:after="90" w:line="270" w:lineRule="auto"/>
      </w:pPr>
      <w:r>
        <w:t>Injection contrôlée d'erreurs : le simulateur piège ce jeu de données en y insérant volontairement des anomalies selon des règles et pourcentages choisis à l'avance.</w:t>
      </w:r>
    </w:p>
    <w:p w14:paraId="66571022" w14:textId="77777777" w:rsidR="000D4E74" w:rsidRDefault="00FE0062">
      <w:pPr>
        <w:pStyle w:val="Paragraphedeliste"/>
        <w:numPr>
          <w:ilvl w:val="0"/>
          <w:numId w:val="2"/>
        </w:numPr>
        <w:spacing w:after="90" w:line="270" w:lineRule="auto"/>
      </w:pPr>
      <w:r>
        <w:t xml:space="preserve">Le corrigé du test : comme le simulateur génère lui-même les erreurs, il conserve en mémoire la liste exacte et l'emplacement de chaque </w:t>
      </w:r>
      <w:r w:rsidR="00CF7A2E">
        <w:t>donnée erronée</w:t>
      </w:r>
      <w:r>
        <w:t>. C'est le « corrigé » du test.</w:t>
      </w:r>
    </w:p>
    <w:p w14:paraId="3512DAFE" w14:textId="77777777" w:rsidR="000D4E74" w:rsidRDefault="00FE0062">
      <w:pPr>
        <w:pStyle w:val="Paragraphedeliste"/>
        <w:numPr>
          <w:ilvl w:val="0"/>
          <w:numId w:val="2"/>
        </w:numPr>
        <w:spacing w:after="90" w:line="270" w:lineRule="auto"/>
      </w:pPr>
      <w:r>
        <w:t xml:space="preserve">L'analyse et la comparaison : le jeu de données </w:t>
      </w:r>
      <w:r w:rsidR="00CF7A2E">
        <w:t>comportant des anomalies</w:t>
      </w:r>
      <w:r>
        <w:t xml:space="preserve"> est transmis à l'outil de qualité des données. Une fois l'analyse terminée, le simulateur récupère le rapport de l'outil et le compare avec son corrigé pour évaluer la performance réelle.</w:t>
      </w:r>
    </w:p>
    <w:p w14:paraId="2F6818AB" w14:textId="77777777" w:rsidR="000D4E74" w:rsidRPr="00B14F4C" w:rsidRDefault="00FE0062">
      <w:pPr>
        <w:pStyle w:val="Titre2"/>
        <w:spacing w:before="260" w:after="130"/>
        <w:rPr>
          <w:color w:val="auto"/>
        </w:rPr>
      </w:pPr>
      <w:bookmarkStart w:id="2" w:name="_Toc238477329"/>
      <w:r w:rsidRPr="00B14F4C">
        <w:rPr>
          <w:rFonts w:ascii="Cambria" w:eastAsia="Cambria" w:hAnsi="Cambria" w:cs="Cambria"/>
          <w:b/>
          <w:bCs/>
          <w:color w:val="auto"/>
          <w:sz w:val="25"/>
          <w:szCs w:val="25"/>
        </w:rPr>
        <w:t>1. Typologie exhaustive des incohérences à tester &amp; dosage par pourcentage</w:t>
      </w:r>
      <w:bookmarkEnd w:id="2"/>
    </w:p>
    <w:p w14:paraId="47871C28" w14:textId="77777777" w:rsidR="000D4E74" w:rsidRDefault="00FE0062">
      <w:pPr>
        <w:spacing w:after="160" w:line="280" w:lineRule="auto"/>
        <w:jc w:val="both"/>
      </w:pPr>
      <w:r>
        <w:t>Le concepteur du simulateur doit permettre d'activer/désactiver chaque type d'anomalie et d'en fixer le pourcentage d'injection exact (ex. 2 % de doublons, 0,5 % d'incohérences temporelles, etc.).</w:t>
      </w:r>
    </w:p>
    <w:p w14:paraId="255001AD" w14:textId="77777777" w:rsidR="00CF3211" w:rsidRDefault="00CF3211">
      <w:pPr>
        <w:spacing w:after="160" w:line="280" w:lineRule="auto"/>
        <w:jc w:val="both"/>
      </w:pPr>
    </w:p>
    <w:p w14:paraId="095D06D8" w14:textId="77777777" w:rsidR="00CF3211" w:rsidRDefault="00CF3211">
      <w:pPr>
        <w:spacing w:after="160" w:line="280" w:lineRule="auto"/>
        <w:jc w:val="both"/>
      </w:pPr>
    </w:p>
    <w:tbl>
      <w:tblPr>
        <w:tblW w:w="9350" w:type="dxa"/>
        <w:tblBorders>
          <w:top w:val="single" w:sz="4" w:space="0" w:color="BFBFBF"/>
          <w:left w:val="single" w:sz="4" w:space="0" w:color="BFBFBF"/>
          <w:bottom w:val="single" w:sz="4" w:space="0" w:color="BFBFBF"/>
          <w:right w:val="single" w:sz="4" w:space="0" w:color="BFBFBF"/>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1700"/>
        <w:gridCol w:w="2400"/>
        <w:gridCol w:w="5250"/>
      </w:tblGrid>
      <w:tr w:rsidR="000D4E74" w14:paraId="14D65C53" w14:textId="77777777">
        <w:trPr>
          <w:cantSplit/>
          <w:tblHeader/>
        </w:trPr>
        <w:tc>
          <w:tcPr>
            <w:tcW w:w="1700" w:type="dxa"/>
            <w:shd w:val="clear" w:color="auto" w:fill="1E2761"/>
            <w:tcMar>
              <w:top w:w="90" w:type="dxa"/>
              <w:left w:w="120" w:type="dxa"/>
              <w:bottom w:w="90" w:type="dxa"/>
              <w:right w:w="120" w:type="dxa"/>
            </w:tcMar>
            <w:vAlign w:val="center"/>
          </w:tcPr>
          <w:p w14:paraId="50DC3A66" w14:textId="77777777" w:rsidR="000D4E74" w:rsidRDefault="00FE0062">
            <w:r>
              <w:rPr>
                <w:b/>
                <w:bCs/>
                <w:color w:val="FFFFFF"/>
                <w:sz w:val="19"/>
                <w:szCs w:val="19"/>
              </w:rPr>
              <w:lastRenderedPageBreak/>
              <w:t>Dimension D</w:t>
            </w:r>
            <w:r w:rsidR="00721FCD">
              <w:rPr>
                <w:b/>
                <w:bCs/>
                <w:color w:val="FFFFFF"/>
                <w:sz w:val="19"/>
                <w:szCs w:val="19"/>
              </w:rPr>
              <w:t xml:space="preserve">ata </w:t>
            </w:r>
            <w:proofErr w:type="spellStart"/>
            <w:r>
              <w:rPr>
                <w:b/>
                <w:bCs/>
                <w:color w:val="FFFFFF"/>
                <w:sz w:val="19"/>
                <w:szCs w:val="19"/>
              </w:rPr>
              <w:t>Q</w:t>
            </w:r>
            <w:r w:rsidR="00721FCD">
              <w:rPr>
                <w:b/>
                <w:bCs/>
                <w:color w:val="FFFFFF"/>
                <w:sz w:val="19"/>
                <w:szCs w:val="19"/>
              </w:rPr>
              <w:t>uality</w:t>
            </w:r>
            <w:proofErr w:type="spellEnd"/>
          </w:p>
        </w:tc>
        <w:tc>
          <w:tcPr>
            <w:tcW w:w="2400" w:type="dxa"/>
            <w:shd w:val="clear" w:color="auto" w:fill="1E2761"/>
            <w:tcMar>
              <w:top w:w="90" w:type="dxa"/>
              <w:left w:w="120" w:type="dxa"/>
              <w:bottom w:w="90" w:type="dxa"/>
              <w:right w:w="120" w:type="dxa"/>
            </w:tcMar>
            <w:vAlign w:val="center"/>
          </w:tcPr>
          <w:p w14:paraId="2BB94228" w14:textId="77777777" w:rsidR="000D4E74" w:rsidRDefault="00FE0062">
            <w:r>
              <w:rPr>
                <w:b/>
                <w:bCs/>
                <w:color w:val="FFFFFF"/>
                <w:sz w:val="19"/>
                <w:szCs w:val="19"/>
              </w:rPr>
              <w:t>Type d'incohérence à tester</w:t>
            </w:r>
          </w:p>
        </w:tc>
        <w:tc>
          <w:tcPr>
            <w:tcW w:w="5250" w:type="dxa"/>
            <w:shd w:val="clear" w:color="auto" w:fill="1E2761"/>
            <w:tcMar>
              <w:top w:w="90" w:type="dxa"/>
              <w:left w:w="120" w:type="dxa"/>
              <w:bottom w:w="90" w:type="dxa"/>
              <w:right w:w="120" w:type="dxa"/>
            </w:tcMar>
            <w:vAlign w:val="center"/>
          </w:tcPr>
          <w:p w14:paraId="7D2BCFF8" w14:textId="77777777" w:rsidR="000D4E74" w:rsidRDefault="00FE0062">
            <w:r>
              <w:rPr>
                <w:b/>
                <w:bCs/>
                <w:color w:val="FFFFFF"/>
                <w:sz w:val="19"/>
                <w:szCs w:val="19"/>
              </w:rPr>
              <w:t>Exemple concret (contexte CMU/CNAM)</w:t>
            </w:r>
          </w:p>
        </w:tc>
      </w:tr>
      <w:tr w:rsidR="000D4E74" w14:paraId="02D37E2C" w14:textId="77777777">
        <w:trPr>
          <w:cantSplit/>
        </w:trPr>
        <w:tc>
          <w:tcPr>
            <w:tcW w:w="1700" w:type="dxa"/>
            <w:tcMar>
              <w:top w:w="90" w:type="dxa"/>
              <w:left w:w="120" w:type="dxa"/>
              <w:bottom w:w="90" w:type="dxa"/>
              <w:right w:w="120" w:type="dxa"/>
            </w:tcMar>
            <w:vAlign w:val="center"/>
          </w:tcPr>
          <w:p w14:paraId="7EA0A01C" w14:textId="77777777" w:rsidR="000D4E74" w:rsidRDefault="00FE0062">
            <w:pPr>
              <w:spacing w:after="40"/>
            </w:pPr>
            <w:r>
              <w:rPr>
                <w:sz w:val="19"/>
                <w:szCs w:val="19"/>
              </w:rPr>
              <w:t>Unicité</w:t>
            </w:r>
          </w:p>
        </w:tc>
        <w:tc>
          <w:tcPr>
            <w:tcW w:w="2400" w:type="dxa"/>
            <w:tcMar>
              <w:top w:w="90" w:type="dxa"/>
              <w:left w:w="120" w:type="dxa"/>
              <w:bottom w:w="90" w:type="dxa"/>
              <w:right w:w="120" w:type="dxa"/>
            </w:tcMar>
            <w:vAlign w:val="center"/>
          </w:tcPr>
          <w:p w14:paraId="732B48B5" w14:textId="77777777" w:rsidR="000D4E74" w:rsidRDefault="00FE0062">
            <w:pPr>
              <w:spacing w:after="40"/>
            </w:pPr>
            <w:r>
              <w:rPr>
                <w:sz w:val="19"/>
                <w:szCs w:val="19"/>
              </w:rPr>
              <w:t>Doublons stricts &amp; flous</w:t>
            </w:r>
          </w:p>
        </w:tc>
        <w:tc>
          <w:tcPr>
            <w:tcW w:w="5250" w:type="dxa"/>
            <w:tcMar>
              <w:top w:w="90" w:type="dxa"/>
              <w:left w:w="120" w:type="dxa"/>
              <w:bottom w:w="90" w:type="dxa"/>
              <w:right w:w="120" w:type="dxa"/>
            </w:tcMar>
            <w:vAlign w:val="center"/>
          </w:tcPr>
          <w:p w14:paraId="5E912F61" w14:textId="77777777" w:rsidR="000D4E74" w:rsidRDefault="00FE0062">
            <w:pPr>
              <w:spacing w:after="40"/>
            </w:pPr>
            <w:r>
              <w:rPr>
                <w:sz w:val="19"/>
                <w:szCs w:val="19"/>
              </w:rPr>
              <w:t>Deux fiches bénéficiaires créées pour la même personne avec une variation orthographique (« N'Guessan » vs « Nguessan ») ou le même numéro d'immatriculation (13 chiffres).</w:t>
            </w:r>
          </w:p>
        </w:tc>
      </w:tr>
      <w:tr w:rsidR="000D4E74" w14:paraId="7F46B932" w14:textId="77777777">
        <w:trPr>
          <w:cantSplit/>
        </w:trPr>
        <w:tc>
          <w:tcPr>
            <w:tcW w:w="1700" w:type="dxa"/>
            <w:shd w:val="clear" w:color="auto" w:fill="F2F2F2"/>
            <w:tcMar>
              <w:top w:w="90" w:type="dxa"/>
              <w:left w:w="120" w:type="dxa"/>
              <w:bottom w:w="90" w:type="dxa"/>
              <w:right w:w="120" w:type="dxa"/>
            </w:tcMar>
            <w:vAlign w:val="center"/>
          </w:tcPr>
          <w:p w14:paraId="069C20F9" w14:textId="77777777" w:rsidR="000D4E74" w:rsidRDefault="00FE0062">
            <w:pPr>
              <w:spacing w:after="40"/>
            </w:pPr>
            <w:r>
              <w:rPr>
                <w:sz w:val="19"/>
                <w:szCs w:val="19"/>
              </w:rPr>
              <w:t>Complétude</w:t>
            </w:r>
          </w:p>
        </w:tc>
        <w:tc>
          <w:tcPr>
            <w:tcW w:w="2400" w:type="dxa"/>
            <w:shd w:val="clear" w:color="auto" w:fill="F2F2F2"/>
            <w:tcMar>
              <w:top w:w="90" w:type="dxa"/>
              <w:left w:w="120" w:type="dxa"/>
              <w:bottom w:w="90" w:type="dxa"/>
              <w:right w:w="120" w:type="dxa"/>
            </w:tcMar>
            <w:vAlign w:val="center"/>
          </w:tcPr>
          <w:p w14:paraId="2EA9B2C6" w14:textId="77777777" w:rsidR="000D4E74" w:rsidRDefault="00FE0062">
            <w:pPr>
              <w:spacing w:after="40"/>
            </w:pPr>
            <w:r>
              <w:rPr>
                <w:sz w:val="19"/>
                <w:szCs w:val="19"/>
              </w:rPr>
              <w:t>Champs obligatoires manquants</w:t>
            </w:r>
          </w:p>
        </w:tc>
        <w:tc>
          <w:tcPr>
            <w:tcW w:w="5250" w:type="dxa"/>
            <w:shd w:val="clear" w:color="auto" w:fill="F2F2F2"/>
            <w:tcMar>
              <w:top w:w="90" w:type="dxa"/>
              <w:left w:w="120" w:type="dxa"/>
              <w:bottom w:w="90" w:type="dxa"/>
              <w:right w:w="120" w:type="dxa"/>
            </w:tcMar>
            <w:vAlign w:val="center"/>
          </w:tcPr>
          <w:p w14:paraId="3F3C16E2" w14:textId="77777777" w:rsidR="000D4E74" w:rsidRDefault="00FE0062">
            <w:pPr>
              <w:spacing w:after="40"/>
            </w:pPr>
            <w:r>
              <w:rPr>
                <w:sz w:val="19"/>
                <w:szCs w:val="19"/>
              </w:rPr>
              <w:t>Absence du numéro d'immatriculation sur une fiche Bénéficiaire, ou nom de famille vide sur une ligne de décompte de prestation.</w:t>
            </w:r>
          </w:p>
        </w:tc>
      </w:tr>
      <w:tr w:rsidR="000D4E74" w14:paraId="2CDD901B" w14:textId="77777777">
        <w:trPr>
          <w:cantSplit/>
        </w:trPr>
        <w:tc>
          <w:tcPr>
            <w:tcW w:w="1700" w:type="dxa"/>
            <w:tcMar>
              <w:top w:w="90" w:type="dxa"/>
              <w:left w:w="120" w:type="dxa"/>
              <w:bottom w:w="90" w:type="dxa"/>
              <w:right w:w="120" w:type="dxa"/>
            </w:tcMar>
            <w:vAlign w:val="center"/>
          </w:tcPr>
          <w:p w14:paraId="573BBAA2" w14:textId="77777777" w:rsidR="000D4E74" w:rsidRDefault="00FE0062">
            <w:pPr>
              <w:spacing w:after="40"/>
            </w:pPr>
            <w:r>
              <w:rPr>
                <w:sz w:val="19"/>
                <w:szCs w:val="19"/>
              </w:rPr>
              <w:t>Validité (Format)</w:t>
            </w:r>
          </w:p>
        </w:tc>
        <w:tc>
          <w:tcPr>
            <w:tcW w:w="2400" w:type="dxa"/>
            <w:tcMar>
              <w:top w:w="90" w:type="dxa"/>
              <w:left w:w="120" w:type="dxa"/>
              <w:bottom w:w="90" w:type="dxa"/>
              <w:right w:w="120" w:type="dxa"/>
            </w:tcMar>
            <w:vAlign w:val="center"/>
          </w:tcPr>
          <w:p w14:paraId="2973C247" w14:textId="77777777" w:rsidR="000D4E74" w:rsidRDefault="00FE0062">
            <w:pPr>
              <w:spacing w:after="40"/>
            </w:pPr>
            <w:r>
              <w:rPr>
                <w:sz w:val="19"/>
                <w:szCs w:val="19"/>
              </w:rPr>
              <w:t>Formats hors normes / Règles syntaxiques</w:t>
            </w:r>
          </w:p>
        </w:tc>
        <w:tc>
          <w:tcPr>
            <w:tcW w:w="5250" w:type="dxa"/>
            <w:tcMar>
              <w:top w:w="90" w:type="dxa"/>
              <w:left w:w="120" w:type="dxa"/>
              <w:bottom w:w="90" w:type="dxa"/>
              <w:right w:w="120" w:type="dxa"/>
            </w:tcMar>
            <w:vAlign w:val="center"/>
          </w:tcPr>
          <w:p w14:paraId="58F0E712" w14:textId="77777777" w:rsidR="000D4E74" w:rsidRDefault="00FE0062">
            <w:pPr>
              <w:spacing w:after="40"/>
            </w:pPr>
            <w:r>
              <w:rPr>
                <w:sz w:val="19"/>
                <w:szCs w:val="19"/>
              </w:rPr>
              <w:t>Numéro de contact téléphonique mal formé (moins de 10 chiffres), numéro RCCM ou Compte Contribuable mal structuré, ou numéro d'immatriculation ne comportant pas 13 chiffres.</w:t>
            </w:r>
          </w:p>
        </w:tc>
      </w:tr>
      <w:tr w:rsidR="000D4E74" w14:paraId="1C206BA9" w14:textId="77777777">
        <w:trPr>
          <w:cantSplit/>
        </w:trPr>
        <w:tc>
          <w:tcPr>
            <w:tcW w:w="1700" w:type="dxa"/>
            <w:shd w:val="clear" w:color="auto" w:fill="F2F2F2"/>
            <w:tcMar>
              <w:top w:w="90" w:type="dxa"/>
              <w:left w:w="120" w:type="dxa"/>
              <w:bottom w:w="90" w:type="dxa"/>
              <w:right w:w="120" w:type="dxa"/>
            </w:tcMar>
            <w:vAlign w:val="center"/>
          </w:tcPr>
          <w:p w14:paraId="4AEE2B3B" w14:textId="77777777" w:rsidR="000D4E74" w:rsidRDefault="00FE0062">
            <w:pPr>
              <w:spacing w:after="40"/>
            </w:pPr>
            <w:r>
              <w:rPr>
                <w:sz w:val="19"/>
                <w:szCs w:val="19"/>
              </w:rPr>
              <w:t>Exactitude (Domaine)</w:t>
            </w:r>
          </w:p>
        </w:tc>
        <w:tc>
          <w:tcPr>
            <w:tcW w:w="2400" w:type="dxa"/>
            <w:shd w:val="clear" w:color="auto" w:fill="F2F2F2"/>
            <w:tcMar>
              <w:top w:w="90" w:type="dxa"/>
              <w:left w:w="120" w:type="dxa"/>
              <w:bottom w:w="90" w:type="dxa"/>
              <w:right w:w="120" w:type="dxa"/>
            </w:tcMar>
            <w:vAlign w:val="center"/>
          </w:tcPr>
          <w:p w14:paraId="2DFD64F4" w14:textId="77777777" w:rsidR="000D4E74" w:rsidRDefault="00FE0062">
            <w:pPr>
              <w:spacing w:after="40"/>
            </w:pPr>
            <w:r>
              <w:rPr>
                <w:sz w:val="19"/>
                <w:szCs w:val="19"/>
              </w:rPr>
              <w:t>Valeurs hors limites / Aberrations</w:t>
            </w:r>
          </w:p>
        </w:tc>
        <w:tc>
          <w:tcPr>
            <w:tcW w:w="5250" w:type="dxa"/>
            <w:shd w:val="clear" w:color="auto" w:fill="F2F2F2"/>
            <w:tcMar>
              <w:top w:w="90" w:type="dxa"/>
              <w:left w:w="120" w:type="dxa"/>
              <w:bottom w:w="90" w:type="dxa"/>
              <w:right w:w="120" w:type="dxa"/>
            </w:tcMar>
            <w:vAlign w:val="center"/>
          </w:tcPr>
          <w:p w14:paraId="6D16BB68" w14:textId="77777777" w:rsidR="000D4E74" w:rsidRDefault="00FE0062">
            <w:pPr>
              <w:spacing w:after="40"/>
            </w:pPr>
            <w:r>
              <w:rPr>
                <w:sz w:val="19"/>
                <w:szCs w:val="19"/>
              </w:rPr>
              <w:t>Montant remboursé négatif sur un décompte de prestation ; ou taux de prise en charge enregistré à 100 % pour un bénéficiaire du régime contributif (RGB), alors que seuls les bénéficiaires du régime d'assistance médicale (RAM, indigents) y ont droit — le RGB plafonne à 70 %, les 30 % restants relevant du ticket modérateur à la charge du patient.</w:t>
            </w:r>
          </w:p>
        </w:tc>
      </w:tr>
      <w:tr w:rsidR="000D4E74" w14:paraId="2CD239FE" w14:textId="77777777">
        <w:trPr>
          <w:cantSplit/>
        </w:trPr>
        <w:tc>
          <w:tcPr>
            <w:tcW w:w="1700" w:type="dxa"/>
            <w:tcMar>
              <w:top w:w="90" w:type="dxa"/>
              <w:left w:w="120" w:type="dxa"/>
              <w:bottom w:w="90" w:type="dxa"/>
              <w:right w:w="120" w:type="dxa"/>
            </w:tcMar>
            <w:vAlign w:val="center"/>
          </w:tcPr>
          <w:p w14:paraId="22CEF502" w14:textId="77777777" w:rsidR="000D4E74" w:rsidRDefault="00FE0062">
            <w:pPr>
              <w:spacing w:after="40"/>
            </w:pPr>
            <w:r>
              <w:rPr>
                <w:sz w:val="19"/>
                <w:szCs w:val="19"/>
              </w:rPr>
              <w:t>Cohérence temporelle</w:t>
            </w:r>
          </w:p>
        </w:tc>
        <w:tc>
          <w:tcPr>
            <w:tcW w:w="2400" w:type="dxa"/>
            <w:tcMar>
              <w:top w:w="90" w:type="dxa"/>
              <w:left w:w="120" w:type="dxa"/>
              <w:bottom w:w="90" w:type="dxa"/>
              <w:right w:w="120" w:type="dxa"/>
            </w:tcMar>
            <w:vAlign w:val="center"/>
          </w:tcPr>
          <w:p w14:paraId="789A138E" w14:textId="77777777" w:rsidR="000D4E74" w:rsidRDefault="00FE0062">
            <w:pPr>
              <w:spacing w:after="40"/>
            </w:pPr>
            <w:r>
              <w:rPr>
                <w:sz w:val="19"/>
                <w:szCs w:val="19"/>
              </w:rPr>
              <w:t>Séquences illogiques (Chronologie)</w:t>
            </w:r>
          </w:p>
        </w:tc>
        <w:tc>
          <w:tcPr>
            <w:tcW w:w="5250" w:type="dxa"/>
            <w:tcMar>
              <w:top w:w="90" w:type="dxa"/>
              <w:left w:w="120" w:type="dxa"/>
              <w:bottom w:w="90" w:type="dxa"/>
              <w:right w:w="120" w:type="dxa"/>
            </w:tcMar>
            <w:vAlign w:val="center"/>
          </w:tcPr>
          <w:p w14:paraId="49ED39E1" w14:textId="77777777" w:rsidR="000D4E74" w:rsidRDefault="00FE0062">
            <w:pPr>
              <w:spacing w:after="40"/>
            </w:pPr>
            <w:r>
              <w:rPr>
                <w:sz w:val="19"/>
                <w:szCs w:val="19"/>
              </w:rPr>
              <w:t>Date de liquidation antérieure à la date de la feuille de soins ; ou date de première prestation enregistrée moins d'un mois après la date d'affiliation, alors que le délai de carence CMU est d'un mois.</w:t>
            </w:r>
          </w:p>
        </w:tc>
      </w:tr>
      <w:tr w:rsidR="000D4E74" w14:paraId="75582388" w14:textId="77777777">
        <w:trPr>
          <w:cantSplit/>
        </w:trPr>
        <w:tc>
          <w:tcPr>
            <w:tcW w:w="1700" w:type="dxa"/>
            <w:shd w:val="clear" w:color="auto" w:fill="F2F2F2"/>
            <w:tcMar>
              <w:top w:w="90" w:type="dxa"/>
              <w:left w:w="120" w:type="dxa"/>
              <w:bottom w:w="90" w:type="dxa"/>
              <w:right w:w="120" w:type="dxa"/>
            </w:tcMar>
            <w:vAlign w:val="center"/>
          </w:tcPr>
          <w:p w14:paraId="1807832B" w14:textId="77777777" w:rsidR="000D4E74" w:rsidRDefault="00FE0062">
            <w:pPr>
              <w:spacing w:after="40"/>
            </w:pPr>
            <w:r>
              <w:rPr>
                <w:sz w:val="19"/>
                <w:szCs w:val="19"/>
              </w:rPr>
              <w:t>Intégrité référentielle</w:t>
            </w:r>
          </w:p>
        </w:tc>
        <w:tc>
          <w:tcPr>
            <w:tcW w:w="2400" w:type="dxa"/>
            <w:shd w:val="clear" w:color="auto" w:fill="F2F2F2"/>
            <w:tcMar>
              <w:top w:w="90" w:type="dxa"/>
              <w:left w:w="120" w:type="dxa"/>
              <w:bottom w:w="90" w:type="dxa"/>
              <w:right w:w="120" w:type="dxa"/>
            </w:tcMar>
            <w:vAlign w:val="center"/>
          </w:tcPr>
          <w:p w14:paraId="733FBD71" w14:textId="77777777" w:rsidR="000D4E74" w:rsidRDefault="00FE0062">
            <w:pPr>
              <w:spacing w:after="40"/>
            </w:pPr>
            <w:r>
              <w:rPr>
                <w:sz w:val="19"/>
                <w:szCs w:val="19"/>
              </w:rPr>
              <w:t>Rupture de liens inter-tables</w:t>
            </w:r>
          </w:p>
        </w:tc>
        <w:tc>
          <w:tcPr>
            <w:tcW w:w="5250" w:type="dxa"/>
            <w:shd w:val="clear" w:color="auto" w:fill="F2F2F2"/>
            <w:tcMar>
              <w:top w:w="90" w:type="dxa"/>
              <w:left w:w="120" w:type="dxa"/>
              <w:bottom w:w="90" w:type="dxa"/>
              <w:right w:w="120" w:type="dxa"/>
            </w:tcMar>
            <w:vAlign w:val="center"/>
          </w:tcPr>
          <w:p w14:paraId="6F539A6C" w14:textId="77777777" w:rsidR="000D4E74" w:rsidRDefault="00FE0062">
            <w:pPr>
              <w:spacing w:after="40"/>
            </w:pPr>
            <w:r>
              <w:rPr>
                <w:sz w:val="19"/>
                <w:szCs w:val="19"/>
              </w:rPr>
              <w:t>Une prestation attribuée à un Professionnel de Santé dont le code n'existe dans aucun référentiel ; ou une affiliation rattachée à un OGD qui ne correspond à aucun organisme reconnu (CNPS, CGRAE, mutuelle…).</w:t>
            </w:r>
          </w:p>
        </w:tc>
      </w:tr>
      <w:tr w:rsidR="000D4E74" w14:paraId="73E5F38F" w14:textId="77777777">
        <w:trPr>
          <w:cantSplit/>
        </w:trPr>
        <w:tc>
          <w:tcPr>
            <w:tcW w:w="1700" w:type="dxa"/>
            <w:tcMar>
              <w:top w:w="90" w:type="dxa"/>
              <w:left w:w="120" w:type="dxa"/>
              <w:bottom w:w="90" w:type="dxa"/>
              <w:right w:w="120" w:type="dxa"/>
            </w:tcMar>
            <w:vAlign w:val="center"/>
          </w:tcPr>
          <w:p w14:paraId="515813D0" w14:textId="77777777" w:rsidR="000D4E74" w:rsidRDefault="00FE0062">
            <w:pPr>
              <w:spacing w:after="40"/>
            </w:pPr>
            <w:r>
              <w:rPr>
                <w:sz w:val="19"/>
                <w:szCs w:val="19"/>
              </w:rPr>
              <w:t>Cohérence croisée</w:t>
            </w:r>
          </w:p>
        </w:tc>
        <w:tc>
          <w:tcPr>
            <w:tcW w:w="2400" w:type="dxa"/>
            <w:tcMar>
              <w:top w:w="90" w:type="dxa"/>
              <w:left w:w="120" w:type="dxa"/>
              <w:bottom w:w="90" w:type="dxa"/>
              <w:right w:w="120" w:type="dxa"/>
            </w:tcMar>
            <w:vAlign w:val="center"/>
          </w:tcPr>
          <w:p w14:paraId="3AFCF2B2" w14:textId="77777777" w:rsidR="000D4E74" w:rsidRDefault="00FE0062">
            <w:pPr>
              <w:spacing w:after="40"/>
            </w:pPr>
            <w:r>
              <w:rPr>
                <w:sz w:val="19"/>
                <w:szCs w:val="19"/>
              </w:rPr>
              <w:t>Contradiction logique entre champs</w:t>
            </w:r>
          </w:p>
        </w:tc>
        <w:tc>
          <w:tcPr>
            <w:tcW w:w="5250" w:type="dxa"/>
            <w:tcMar>
              <w:top w:w="90" w:type="dxa"/>
              <w:left w:w="120" w:type="dxa"/>
              <w:bottom w:w="90" w:type="dxa"/>
              <w:right w:w="120" w:type="dxa"/>
            </w:tcMar>
            <w:vAlign w:val="center"/>
          </w:tcPr>
          <w:p w14:paraId="14F7723B" w14:textId="77777777" w:rsidR="000D4E74" w:rsidRDefault="00FE0062">
            <w:pPr>
              <w:spacing w:after="40"/>
            </w:pPr>
            <w:r>
              <w:rPr>
                <w:sz w:val="19"/>
                <w:szCs w:val="19"/>
              </w:rPr>
              <w:t>Régime enregistré comme RAM (indigent, non contributif) alors qu'une cotisation employeur existe pour ce même bénéficiaire ; ou statut de droits « Actif » alors que la date de radiation est déjà passée.</w:t>
            </w:r>
          </w:p>
        </w:tc>
      </w:tr>
      <w:tr w:rsidR="000D4E74" w14:paraId="36EBDB48" w14:textId="77777777">
        <w:trPr>
          <w:cantSplit/>
        </w:trPr>
        <w:tc>
          <w:tcPr>
            <w:tcW w:w="1700" w:type="dxa"/>
            <w:shd w:val="clear" w:color="auto" w:fill="F2F2F2"/>
            <w:tcMar>
              <w:top w:w="90" w:type="dxa"/>
              <w:left w:w="120" w:type="dxa"/>
              <w:bottom w:w="90" w:type="dxa"/>
              <w:right w:w="120" w:type="dxa"/>
            </w:tcMar>
            <w:vAlign w:val="center"/>
          </w:tcPr>
          <w:p w14:paraId="57BDA2A5" w14:textId="77777777" w:rsidR="000D4E74" w:rsidRDefault="00FE0062">
            <w:pPr>
              <w:spacing w:after="40"/>
            </w:pPr>
            <w:r>
              <w:rPr>
                <w:sz w:val="19"/>
                <w:szCs w:val="19"/>
              </w:rPr>
              <w:t>Conformité technique</w:t>
            </w:r>
          </w:p>
        </w:tc>
        <w:tc>
          <w:tcPr>
            <w:tcW w:w="2400" w:type="dxa"/>
            <w:shd w:val="clear" w:color="auto" w:fill="F2F2F2"/>
            <w:tcMar>
              <w:top w:w="90" w:type="dxa"/>
              <w:left w:w="120" w:type="dxa"/>
              <w:bottom w:w="90" w:type="dxa"/>
              <w:right w:w="120" w:type="dxa"/>
            </w:tcMar>
            <w:vAlign w:val="center"/>
          </w:tcPr>
          <w:p w14:paraId="21156AC9" w14:textId="77777777" w:rsidR="000D4E74" w:rsidRDefault="00FE0062">
            <w:pPr>
              <w:spacing w:after="40"/>
            </w:pPr>
            <w:r>
              <w:rPr>
                <w:sz w:val="19"/>
                <w:szCs w:val="19"/>
              </w:rPr>
              <w:t>Altération de caractères / Encodage</w:t>
            </w:r>
          </w:p>
        </w:tc>
        <w:tc>
          <w:tcPr>
            <w:tcW w:w="5250" w:type="dxa"/>
            <w:shd w:val="clear" w:color="auto" w:fill="F2F2F2"/>
            <w:tcMar>
              <w:top w:w="90" w:type="dxa"/>
              <w:left w:w="120" w:type="dxa"/>
              <w:bottom w:w="90" w:type="dxa"/>
              <w:right w:w="120" w:type="dxa"/>
            </w:tcMar>
            <w:vAlign w:val="center"/>
          </w:tcPr>
          <w:p w14:paraId="4DAE6880" w14:textId="77777777" w:rsidR="000D4E74" w:rsidRDefault="00FE0062">
            <w:pPr>
              <w:spacing w:after="40"/>
            </w:pPr>
            <w:r>
              <w:rPr>
                <w:sz w:val="19"/>
                <w:szCs w:val="19"/>
              </w:rPr>
              <w:t>Noms comportant des caractères spéciaux cassés lors de l'import (ex. N'Guessan transformé en N&amp;#</w:t>
            </w:r>
            <w:proofErr w:type="gramStart"/>
            <w:r>
              <w:rPr>
                <w:sz w:val="19"/>
                <w:szCs w:val="19"/>
              </w:rPr>
              <w:t>39;Guessan</w:t>
            </w:r>
            <w:proofErr w:type="gramEnd"/>
            <w:r>
              <w:rPr>
                <w:sz w:val="19"/>
                <w:szCs w:val="19"/>
              </w:rPr>
              <w:t xml:space="preserve"> ou </w:t>
            </w:r>
            <w:proofErr w:type="spellStart"/>
            <w:proofErr w:type="gramStart"/>
            <w:r>
              <w:rPr>
                <w:sz w:val="19"/>
                <w:szCs w:val="19"/>
              </w:rPr>
              <w:t>N?Guessan</w:t>
            </w:r>
            <w:proofErr w:type="spellEnd"/>
            <w:proofErr w:type="gramEnd"/>
            <w:r>
              <w:rPr>
                <w:sz w:val="19"/>
                <w:szCs w:val="19"/>
              </w:rPr>
              <w:t>).</w:t>
            </w:r>
          </w:p>
        </w:tc>
      </w:tr>
    </w:tbl>
    <w:p w14:paraId="15DCC039" w14:textId="77777777" w:rsidR="00721FCD" w:rsidRDefault="00721FCD" w:rsidP="00721FCD"/>
    <w:p w14:paraId="50C702E7" w14:textId="77777777" w:rsidR="00721FCD" w:rsidRPr="003F1DD4" w:rsidRDefault="000A48CF" w:rsidP="003F1DD4">
      <w:pPr>
        <w:rPr>
          <w:b/>
          <w:bCs/>
        </w:rPr>
      </w:pPr>
      <w:r w:rsidRPr="003F1DD4">
        <w:rPr>
          <w:b/>
          <w:bCs/>
        </w:rPr>
        <w:t>Écran</w:t>
      </w:r>
      <w:r w:rsidR="003F1DD4">
        <w:rPr>
          <w:b/>
          <w:bCs/>
        </w:rPr>
        <w:t> : Nou</w:t>
      </w:r>
      <w:r w:rsidR="00721FCD" w:rsidRPr="003F1DD4">
        <w:rPr>
          <w:b/>
          <w:bCs/>
        </w:rPr>
        <w:t xml:space="preserve">velle campagne </w:t>
      </w:r>
      <w:r w:rsidR="003F1DD4">
        <w:rPr>
          <w:b/>
          <w:bCs/>
        </w:rPr>
        <w:t xml:space="preserve">de </w:t>
      </w:r>
      <w:r w:rsidR="00721FCD" w:rsidRPr="003F1DD4">
        <w:rPr>
          <w:b/>
          <w:bCs/>
        </w:rPr>
        <w:t>sélection des anomalies (à titre indicatif)</w:t>
      </w:r>
    </w:p>
    <w:p w14:paraId="7DC73A98" w14:textId="77777777" w:rsidR="000A48CF" w:rsidRDefault="00CF3211" w:rsidP="00721FCD">
      <w:pPr>
        <w:spacing w:after="220"/>
        <w:rPr>
          <w:i/>
          <w:iCs/>
          <w:color w:val="6B6B6B"/>
          <w:sz w:val="20"/>
          <w:szCs w:val="20"/>
        </w:rPr>
      </w:pPr>
      <w:r>
        <w:rPr>
          <w:i/>
          <w:iCs/>
          <w:color w:val="6B6B6B"/>
          <w:sz w:val="20"/>
          <w:szCs w:val="20"/>
        </w:rPr>
        <w:t>Chaque</w:t>
      </w:r>
      <w:r w:rsidR="00721FCD">
        <w:rPr>
          <w:i/>
          <w:iCs/>
          <w:color w:val="6B6B6B"/>
          <w:sz w:val="20"/>
          <w:szCs w:val="20"/>
        </w:rPr>
        <w:t xml:space="preserve"> famille d'anomalie s'active et se paramètre indépendamment.</w:t>
      </w:r>
      <w:r>
        <w:rPr>
          <w:i/>
          <w:iCs/>
          <w:color w:val="6B6B6B"/>
          <w:sz w:val="20"/>
          <w:szCs w:val="20"/>
        </w:rPr>
        <w:t xml:space="preserve"> </w:t>
      </w:r>
      <w:r w:rsidR="000A48CF">
        <w:rPr>
          <w:i/>
          <w:iCs/>
          <w:color w:val="6B6B6B"/>
          <w:sz w:val="16"/>
          <w:szCs w:val="16"/>
        </w:rPr>
        <w:t xml:space="preserve">Activez les types d'anomalies souhaités et réglez leur taux indépendamment (exigences B1-B11, </w:t>
      </w:r>
      <w:r w:rsidR="000A48CF" w:rsidRPr="00CF3211">
        <w:rPr>
          <w:i/>
          <w:iCs/>
          <w:color w:val="6B6B6B"/>
          <w:sz w:val="20"/>
          <w:szCs w:val="20"/>
        </w:rPr>
        <w:t>C1, C2). B1 à B11 (familles d'anomalies), C1 (taux réglable par type), C2 (sélection des types actifs).</w:t>
      </w:r>
    </w:p>
    <w:p w14:paraId="42939FB5" w14:textId="77777777" w:rsidR="00B14F4C" w:rsidRDefault="00B14F4C" w:rsidP="00721FCD">
      <w:pPr>
        <w:spacing w:after="220"/>
        <w:rPr>
          <w:i/>
          <w:iCs/>
          <w:color w:val="6B6B6B"/>
          <w:sz w:val="20"/>
          <w:szCs w:val="20"/>
        </w:rPr>
      </w:pPr>
    </w:p>
    <w:p w14:paraId="4A8DE907" w14:textId="77777777" w:rsidR="00B14F4C" w:rsidRDefault="00B14F4C" w:rsidP="00721FCD">
      <w:pPr>
        <w:spacing w:after="220"/>
        <w:rPr>
          <w:i/>
          <w:iCs/>
          <w:color w:val="6B6B6B"/>
          <w:sz w:val="20"/>
          <w:szCs w:val="20"/>
        </w:rPr>
      </w:pPr>
    </w:p>
    <w:p w14:paraId="272FA415" w14:textId="77777777" w:rsidR="00B14F4C" w:rsidRDefault="00B14F4C" w:rsidP="00721FCD">
      <w:pPr>
        <w:spacing w:after="220"/>
        <w:rPr>
          <w:i/>
          <w:iCs/>
          <w:color w:val="6B6B6B"/>
          <w:sz w:val="20"/>
          <w:szCs w:val="20"/>
        </w:rPr>
      </w:pPr>
    </w:p>
    <w:p w14:paraId="19CBD0B8" w14:textId="77777777" w:rsidR="00B14F4C" w:rsidRDefault="00B14F4C" w:rsidP="00721FCD">
      <w:pPr>
        <w:spacing w:after="220"/>
        <w:rPr>
          <w:i/>
          <w:iCs/>
          <w:color w:val="6B6B6B"/>
          <w:sz w:val="20"/>
          <w:szCs w:val="20"/>
        </w:rPr>
      </w:pPr>
    </w:p>
    <w:p w14:paraId="6046F055" w14:textId="77777777" w:rsidR="00B14F4C" w:rsidRDefault="00B14F4C" w:rsidP="00721FCD">
      <w:pPr>
        <w:spacing w:after="220"/>
        <w:rPr>
          <w:i/>
          <w:iCs/>
          <w:color w:val="6B6B6B"/>
          <w:sz w:val="20"/>
          <w:szCs w:val="20"/>
        </w:rPr>
      </w:pPr>
    </w:p>
    <w:p w14:paraId="4B5D1BAE" w14:textId="77777777" w:rsidR="00B14F4C" w:rsidRPr="00CF3211" w:rsidRDefault="00B14F4C" w:rsidP="00721FCD">
      <w:pPr>
        <w:spacing w:after="220"/>
        <w:rPr>
          <w:i/>
          <w:iCs/>
          <w:color w:val="6B6B6B"/>
          <w:sz w:val="20"/>
          <w:szCs w:val="20"/>
        </w:rPr>
      </w:pPr>
    </w:p>
    <w:tbl>
      <w:tblPr>
        <w:tblW w:w="9350" w:type="dxa"/>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365"/>
        <w:gridCol w:w="2328"/>
        <w:gridCol w:w="1742"/>
        <w:gridCol w:w="915"/>
      </w:tblGrid>
      <w:tr w:rsidR="00721FCD" w14:paraId="0A03BC52" w14:textId="77777777" w:rsidTr="00E14F8C">
        <w:trPr>
          <w:gridAfter w:val="3"/>
          <w:wAfter w:w="300" w:type="dxa"/>
        </w:trPr>
        <w:tc>
          <w:tcPr>
            <w:tcW w:w="9350" w:type="dxa"/>
            <w:tcBorders>
              <w:top w:val="none" w:sz="0" w:space="0" w:color="FFFFFF"/>
              <w:left w:val="none" w:sz="0" w:space="0" w:color="FFFFFF"/>
              <w:bottom w:val="none" w:sz="0" w:space="0" w:color="FFFFFF"/>
              <w:right w:val="none" w:sz="0" w:space="0" w:color="FFFFFF"/>
            </w:tcBorders>
            <w:shd w:val="clear" w:color="auto" w:fill="141B4D"/>
            <w:tcMar>
              <w:top w:w="160" w:type="dxa"/>
              <w:left w:w="220" w:type="dxa"/>
              <w:bottom w:w="160" w:type="dxa"/>
              <w:right w:w="220" w:type="dxa"/>
            </w:tcMar>
            <w:vAlign w:val="center"/>
          </w:tcPr>
          <w:p w14:paraId="5F1FE1E3" w14:textId="77777777" w:rsidR="00721FCD" w:rsidRDefault="00721FCD" w:rsidP="00E14F8C">
            <w:r>
              <w:rPr>
                <w:b/>
                <w:bCs/>
                <w:color w:val="C9752B"/>
                <w:sz w:val="15"/>
                <w:szCs w:val="15"/>
              </w:rPr>
              <w:lastRenderedPageBreak/>
              <w:t>SIMULATEUR D'ANOMALIES DE DONNÉES — CNAM</w:t>
            </w:r>
          </w:p>
          <w:p w14:paraId="6529A74A" w14:textId="77777777" w:rsidR="00721FCD" w:rsidRDefault="00721FCD" w:rsidP="00E14F8C">
            <w:pPr>
              <w:spacing w:before="20"/>
            </w:pPr>
            <w:r>
              <w:rPr>
                <w:b/>
                <w:bCs/>
                <w:color w:val="FFFFFF"/>
                <w:sz w:val="24"/>
                <w:szCs w:val="24"/>
              </w:rPr>
              <w:t>Nouvelle campagne</w:t>
            </w:r>
          </w:p>
        </w:tc>
      </w:tr>
      <w:tr w:rsidR="00721FCD" w14:paraId="2FDBD53F" w14:textId="77777777" w:rsidTr="00E14F8C">
        <w:trPr>
          <w:gridAfter w:val="1"/>
          <w:wAfter w:w="100" w:type="dxa"/>
        </w:trPr>
        <w:tc>
          <w:tcPr>
            <w:tcW w:w="3116" w:type="dxa"/>
            <w:tcBorders>
              <w:top w:val="single" w:sz="4" w:space="0" w:color="BFBFBF"/>
              <w:left w:val="single" w:sz="4" w:space="0" w:color="BFBFBF"/>
              <w:bottom w:val="single" w:sz="4" w:space="0" w:color="BFBFBF"/>
              <w:right w:val="single" w:sz="4" w:space="0" w:color="BFBFBF"/>
            </w:tcBorders>
            <w:shd w:val="clear" w:color="auto" w:fill="E3E3E3"/>
            <w:tcMar>
              <w:top w:w="120" w:type="dxa"/>
              <w:left w:w="60" w:type="dxa"/>
              <w:bottom w:w="120" w:type="dxa"/>
              <w:right w:w="60" w:type="dxa"/>
            </w:tcMar>
            <w:vAlign w:val="center"/>
          </w:tcPr>
          <w:p w14:paraId="4C5C419F" w14:textId="77777777" w:rsidR="00721FCD" w:rsidRDefault="00721FCD" w:rsidP="00E14F8C">
            <w:pPr>
              <w:jc w:val="center"/>
            </w:pPr>
            <w:r>
              <w:rPr>
                <w:sz w:val="16"/>
                <w:szCs w:val="16"/>
              </w:rPr>
              <w:t>1. Paramètres de génération</w:t>
            </w:r>
          </w:p>
        </w:tc>
        <w:tc>
          <w:tcPr>
            <w:tcW w:w="3116" w:type="dxa"/>
            <w:tcBorders>
              <w:top w:val="single" w:sz="4" w:space="0" w:color="BFBFBF"/>
              <w:left w:val="single" w:sz="4" w:space="0" w:color="BFBFBF"/>
              <w:bottom w:val="single" w:sz="4" w:space="0" w:color="BFBFBF"/>
              <w:right w:val="single" w:sz="4" w:space="0" w:color="BFBFBF"/>
            </w:tcBorders>
            <w:shd w:val="clear" w:color="auto" w:fill="1E2761"/>
            <w:tcMar>
              <w:top w:w="120" w:type="dxa"/>
              <w:left w:w="60" w:type="dxa"/>
              <w:bottom w:w="120" w:type="dxa"/>
              <w:right w:w="60" w:type="dxa"/>
            </w:tcMar>
            <w:vAlign w:val="center"/>
          </w:tcPr>
          <w:p w14:paraId="0A4E5492" w14:textId="77777777" w:rsidR="00721FCD" w:rsidRDefault="00721FCD" w:rsidP="00E14F8C">
            <w:pPr>
              <w:jc w:val="center"/>
            </w:pPr>
            <w:r>
              <w:rPr>
                <w:b/>
                <w:bCs/>
                <w:color w:val="FFFFFF"/>
                <w:sz w:val="16"/>
                <w:szCs w:val="16"/>
              </w:rPr>
              <w:t>2. Sélection des anomalies</w:t>
            </w:r>
          </w:p>
        </w:tc>
        <w:tc>
          <w:tcPr>
            <w:tcW w:w="3116" w:type="dxa"/>
            <w:tcBorders>
              <w:top w:val="single" w:sz="4" w:space="0" w:color="BFBFBF"/>
              <w:left w:val="single" w:sz="4" w:space="0" w:color="BFBFBF"/>
              <w:bottom w:val="single" w:sz="4" w:space="0" w:color="BFBFBF"/>
              <w:right w:val="single" w:sz="4" w:space="0" w:color="BFBFBF"/>
            </w:tcBorders>
            <w:shd w:val="clear" w:color="auto" w:fill="FFFFFF"/>
            <w:tcMar>
              <w:top w:w="120" w:type="dxa"/>
              <w:left w:w="60" w:type="dxa"/>
              <w:bottom w:w="120" w:type="dxa"/>
              <w:right w:w="60" w:type="dxa"/>
            </w:tcMar>
            <w:vAlign w:val="center"/>
          </w:tcPr>
          <w:p w14:paraId="7A0F166A" w14:textId="77777777" w:rsidR="00721FCD" w:rsidRDefault="00721FCD" w:rsidP="00E14F8C">
            <w:pPr>
              <w:jc w:val="center"/>
            </w:pPr>
            <w:r>
              <w:rPr>
                <w:sz w:val="16"/>
                <w:szCs w:val="16"/>
              </w:rPr>
              <w:t>3. Récapitulatif</w:t>
            </w:r>
          </w:p>
        </w:tc>
      </w:tr>
      <w:tr w:rsidR="00721FCD" w14:paraId="0C18D03F" w14:textId="77777777" w:rsidTr="00E14F8C">
        <w:trPr>
          <w:gridAfter w:val="3"/>
          <w:wAfter w:w="300" w:type="dxa"/>
        </w:trPr>
        <w:tc>
          <w:tcPr>
            <w:tcW w:w="9350" w:type="dxa"/>
            <w:tcBorders>
              <w:top w:val="none" w:sz="0" w:space="0" w:color="FFFFFF"/>
              <w:left w:val="none" w:sz="0" w:space="0" w:color="FFFFFF"/>
              <w:bottom w:val="none" w:sz="0" w:space="0" w:color="FFFFFF"/>
              <w:right w:val="none" w:sz="0" w:space="0" w:color="FFFFFF"/>
            </w:tcBorders>
            <w:shd w:val="clear" w:color="auto" w:fill="FFFFFF"/>
            <w:tcMar>
              <w:top w:w="220" w:type="dxa"/>
              <w:left w:w="240" w:type="dxa"/>
              <w:bottom w:w="120" w:type="dxa"/>
              <w:right w:w="220" w:type="dxa"/>
            </w:tcMar>
            <w:vAlign w:val="center"/>
          </w:tcPr>
          <w:p w14:paraId="1F90ABBA" w14:textId="77777777" w:rsidR="00721FCD" w:rsidRDefault="00721FCD" w:rsidP="000A48CF">
            <w:pPr>
              <w:spacing w:before="40" w:after="80"/>
            </w:pPr>
          </w:p>
        </w:tc>
      </w:tr>
      <w:tr w:rsidR="00721FCD" w14:paraId="3C1CED69" w14:textId="77777777" w:rsidTr="00E14F8C">
        <w:tc>
          <w:tcPr>
            <w:tcW w:w="700" w:type="dxa"/>
            <w:tcBorders>
              <w:top w:val="single" w:sz="4" w:space="0" w:color="BFBFBF"/>
              <w:left w:val="single" w:sz="4" w:space="0" w:color="BFBFBF"/>
              <w:bottom w:val="single" w:sz="4" w:space="0" w:color="BFBFBF"/>
              <w:right w:val="single" w:sz="4" w:space="0" w:color="BFBFBF"/>
            </w:tcBorders>
            <w:shd w:val="clear" w:color="auto" w:fill="1E2761"/>
            <w:tcMar>
              <w:top w:w="100" w:type="dxa"/>
              <w:left w:w="140" w:type="dxa"/>
              <w:bottom w:w="100" w:type="dxa"/>
              <w:right w:w="140" w:type="dxa"/>
            </w:tcMar>
            <w:vAlign w:val="center"/>
          </w:tcPr>
          <w:p w14:paraId="2EF9B3EA" w14:textId="77777777" w:rsidR="00721FCD" w:rsidRDefault="00721FCD" w:rsidP="00E14F8C">
            <w:r>
              <w:rPr>
                <w:b/>
                <w:bCs/>
                <w:color w:val="FFFFFF"/>
                <w:sz w:val="15"/>
                <w:szCs w:val="15"/>
              </w:rPr>
              <w:t>ID</w:t>
            </w:r>
          </w:p>
        </w:tc>
        <w:tc>
          <w:tcPr>
            <w:tcW w:w="4400" w:type="dxa"/>
            <w:tcBorders>
              <w:top w:val="single" w:sz="4" w:space="0" w:color="BFBFBF"/>
              <w:left w:val="single" w:sz="4" w:space="0" w:color="BFBFBF"/>
              <w:bottom w:val="single" w:sz="4" w:space="0" w:color="BFBFBF"/>
              <w:right w:val="single" w:sz="4" w:space="0" w:color="BFBFBF"/>
            </w:tcBorders>
            <w:shd w:val="clear" w:color="auto" w:fill="1E2761"/>
            <w:tcMar>
              <w:top w:w="100" w:type="dxa"/>
              <w:left w:w="140" w:type="dxa"/>
              <w:bottom w:w="100" w:type="dxa"/>
              <w:right w:w="140" w:type="dxa"/>
            </w:tcMar>
            <w:vAlign w:val="center"/>
          </w:tcPr>
          <w:p w14:paraId="3C77E63C" w14:textId="77777777" w:rsidR="00721FCD" w:rsidRDefault="00721FCD" w:rsidP="00E14F8C">
            <w:r>
              <w:rPr>
                <w:b/>
                <w:bCs/>
                <w:color w:val="FFFFFF"/>
                <w:sz w:val="15"/>
                <w:szCs w:val="15"/>
              </w:rPr>
              <w:t>Type d'anomalie</w:t>
            </w:r>
          </w:p>
        </w:tc>
        <w:tc>
          <w:tcPr>
            <w:tcW w:w="1500" w:type="dxa"/>
            <w:tcBorders>
              <w:top w:val="single" w:sz="4" w:space="0" w:color="BFBFBF"/>
              <w:left w:val="single" w:sz="4" w:space="0" w:color="BFBFBF"/>
              <w:bottom w:val="single" w:sz="4" w:space="0" w:color="BFBFBF"/>
              <w:right w:val="single" w:sz="4" w:space="0" w:color="BFBFBF"/>
            </w:tcBorders>
            <w:shd w:val="clear" w:color="auto" w:fill="1E2761"/>
            <w:tcMar>
              <w:top w:w="100" w:type="dxa"/>
              <w:left w:w="140" w:type="dxa"/>
              <w:bottom w:w="100" w:type="dxa"/>
              <w:right w:w="140" w:type="dxa"/>
            </w:tcMar>
            <w:vAlign w:val="center"/>
          </w:tcPr>
          <w:p w14:paraId="5EC8578C" w14:textId="77777777" w:rsidR="00721FCD" w:rsidRDefault="00721FCD" w:rsidP="00E14F8C">
            <w:r>
              <w:rPr>
                <w:b/>
                <w:bCs/>
                <w:color w:val="FFFFFF"/>
                <w:sz w:val="15"/>
                <w:szCs w:val="15"/>
              </w:rPr>
              <w:t>Taux (%)</w:t>
            </w:r>
          </w:p>
        </w:tc>
        <w:tc>
          <w:tcPr>
            <w:tcW w:w="1350" w:type="dxa"/>
            <w:tcBorders>
              <w:top w:val="single" w:sz="4" w:space="0" w:color="BFBFBF"/>
              <w:left w:val="single" w:sz="4" w:space="0" w:color="BFBFBF"/>
              <w:bottom w:val="single" w:sz="4" w:space="0" w:color="BFBFBF"/>
              <w:right w:val="single" w:sz="4" w:space="0" w:color="BFBFBF"/>
            </w:tcBorders>
            <w:shd w:val="clear" w:color="auto" w:fill="1E2761"/>
            <w:tcMar>
              <w:top w:w="100" w:type="dxa"/>
              <w:left w:w="140" w:type="dxa"/>
              <w:bottom w:w="100" w:type="dxa"/>
              <w:right w:w="140" w:type="dxa"/>
            </w:tcMar>
            <w:vAlign w:val="center"/>
          </w:tcPr>
          <w:p w14:paraId="46D38833" w14:textId="77777777" w:rsidR="00721FCD" w:rsidRDefault="00721FCD" w:rsidP="00E14F8C">
            <w:r>
              <w:rPr>
                <w:b/>
                <w:bCs/>
                <w:color w:val="FFFFFF"/>
                <w:sz w:val="15"/>
                <w:szCs w:val="15"/>
              </w:rPr>
              <w:t>Statut</w:t>
            </w:r>
          </w:p>
        </w:tc>
      </w:tr>
      <w:tr w:rsidR="00721FCD" w14:paraId="44BAD33C" w14:textId="77777777" w:rsidTr="00E14F8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CCCA9AA" w14:textId="77777777" w:rsidR="00721FCD" w:rsidRDefault="00721FCD" w:rsidP="00E14F8C">
            <w:r>
              <w:rPr>
                <w:b/>
                <w:bCs/>
                <w:sz w:val="15"/>
                <w:szCs w:val="15"/>
              </w:rPr>
              <w:t>B1</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295B467" w14:textId="77777777" w:rsidR="00721FCD" w:rsidRDefault="00721FCD" w:rsidP="00E14F8C">
            <w:r>
              <w:rPr>
                <w:rFonts w:ascii="Segoe UI Symbol" w:hAnsi="Segoe UI Symbol" w:cs="Segoe UI Symbol"/>
                <w:b/>
                <w:bCs/>
                <w:color w:val="1E2761"/>
                <w:sz w:val="18"/>
                <w:szCs w:val="18"/>
              </w:rPr>
              <w:t>☑</w:t>
            </w:r>
            <w:r>
              <w:rPr>
                <w:b/>
                <w:bCs/>
                <w:color w:val="1E2761"/>
                <w:sz w:val="18"/>
                <w:szCs w:val="18"/>
              </w:rPr>
              <w:t xml:space="preserve"> </w:t>
            </w:r>
            <w:r>
              <w:rPr>
                <w:sz w:val="15"/>
                <w:szCs w:val="15"/>
              </w:rPr>
              <w:t>Doublons exacts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4369E80" w14:textId="77777777" w:rsidR="00721FCD" w:rsidRDefault="00721FCD" w:rsidP="00E14F8C">
            <w:pPr>
              <w:pBdr>
                <w:top w:val="single" w:sz="4" w:space="0" w:color="BFBFBF"/>
                <w:left w:val="single" w:sz="4" w:space="0" w:color="BFBFBF"/>
                <w:bottom w:val="single" w:sz="4" w:space="0" w:color="BFBFBF"/>
                <w:right w:val="single" w:sz="4" w:space="0" w:color="BFBFBF"/>
              </w:pBdr>
            </w:pPr>
            <w:r>
              <w:rPr>
                <w:sz w:val="15"/>
                <w:szCs w:val="15"/>
              </w:rPr>
              <w:t xml:space="preserve">  5 %</w:t>
            </w:r>
          </w:p>
        </w:tc>
        <w:tc>
          <w:tcPr>
            <w:tcW w:w="135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E6B4821" w14:textId="77777777" w:rsidR="00721FCD" w:rsidRDefault="00721FCD" w:rsidP="00E14F8C">
            <w:r>
              <w:rPr>
                <w:b/>
                <w:bCs/>
                <w:color w:val="1E7A34"/>
                <w:sz w:val="14"/>
                <w:szCs w:val="14"/>
              </w:rPr>
              <w:t>Actif</w:t>
            </w:r>
          </w:p>
        </w:tc>
      </w:tr>
      <w:tr w:rsidR="00721FCD" w14:paraId="51D3BE58" w14:textId="77777777" w:rsidTr="00E14F8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E4675F2" w14:textId="77777777" w:rsidR="00721FCD" w:rsidRDefault="00721FCD" w:rsidP="00E14F8C">
            <w:r>
              <w:rPr>
                <w:b/>
                <w:bCs/>
                <w:sz w:val="15"/>
                <w:szCs w:val="15"/>
              </w:rPr>
              <w:t>B2</w:t>
            </w:r>
          </w:p>
        </w:tc>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02793E5" w14:textId="77777777" w:rsidR="00721FCD" w:rsidRDefault="00721FCD" w:rsidP="00E14F8C">
            <w:r>
              <w:rPr>
                <w:rFonts w:ascii="Segoe UI Symbol" w:hAnsi="Segoe UI Symbol" w:cs="Segoe UI Symbol"/>
                <w:b/>
                <w:bCs/>
                <w:color w:val="1E2761"/>
                <w:sz w:val="18"/>
                <w:szCs w:val="18"/>
              </w:rPr>
              <w:t>☑</w:t>
            </w:r>
            <w:r>
              <w:rPr>
                <w:b/>
                <w:bCs/>
                <w:color w:val="1E2761"/>
                <w:sz w:val="18"/>
                <w:szCs w:val="18"/>
              </w:rPr>
              <w:t xml:space="preserve"> </w:t>
            </w:r>
            <w:r>
              <w:rPr>
                <w:sz w:val="15"/>
                <w:szCs w:val="15"/>
              </w:rPr>
              <w:t>Doublons approximatifs (</w:t>
            </w:r>
            <w:proofErr w:type="spellStart"/>
            <w:r>
              <w:rPr>
                <w:sz w:val="15"/>
                <w:szCs w:val="15"/>
              </w:rPr>
              <w:t>fuzzy</w:t>
            </w:r>
            <w:proofErr w:type="spellEnd"/>
            <w:r>
              <w:rPr>
                <w:sz w:val="15"/>
                <w:szCs w:val="15"/>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961568B" w14:textId="77777777" w:rsidR="00721FCD" w:rsidRDefault="00721FCD" w:rsidP="00E14F8C">
            <w:pPr>
              <w:pBdr>
                <w:top w:val="single" w:sz="4" w:space="0" w:color="BFBFBF"/>
                <w:left w:val="single" w:sz="4" w:space="0" w:color="BFBFBF"/>
                <w:bottom w:val="single" w:sz="4" w:space="0" w:color="BFBFBF"/>
                <w:right w:val="single" w:sz="4" w:space="0" w:color="BFBFBF"/>
              </w:pBdr>
            </w:pPr>
            <w:r>
              <w:rPr>
                <w:sz w:val="15"/>
                <w:szCs w:val="15"/>
              </w:rPr>
              <w:t xml:space="preserve">  3 %</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641B543" w14:textId="77777777" w:rsidR="00721FCD" w:rsidRDefault="00721FCD" w:rsidP="00E14F8C">
            <w:r>
              <w:rPr>
                <w:b/>
                <w:bCs/>
                <w:color w:val="1E7A34"/>
                <w:sz w:val="14"/>
                <w:szCs w:val="14"/>
              </w:rPr>
              <w:t>Actif</w:t>
            </w:r>
          </w:p>
        </w:tc>
      </w:tr>
      <w:tr w:rsidR="00721FCD" w14:paraId="402D3766" w14:textId="77777777" w:rsidTr="00E14F8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33A1FFE" w14:textId="77777777" w:rsidR="00721FCD" w:rsidRDefault="00721FCD" w:rsidP="00E14F8C">
            <w:r>
              <w:rPr>
                <w:b/>
                <w:bCs/>
                <w:sz w:val="15"/>
                <w:szCs w:val="15"/>
              </w:rPr>
              <w:t>B3</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7EA2DF0" w14:textId="77777777" w:rsidR="00721FCD" w:rsidRDefault="00721FCD" w:rsidP="00E14F8C">
            <w:r>
              <w:rPr>
                <w:rFonts w:ascii="Segoe UI Symbol" w:hAnsi="Segoe UI Symbol" w:cs="Segoe UI Symbol"/>
                <w:b/>
                <w:bCs/>
                <w:color w:val="1E2761"/>
                <w:sz w:val="18"/>
                <w:szCs w:val="18"/>
              </w:rPr>
              <w:t>☑</w:t>
            </w:r>
            <w:r>
              <w:rPr>
                <w:b/>
                <w:bCs/>
                <w:color w:val="1E2761"/>
                <w:sz w:val="18"/>
                <w:szCs w:val="18"/>
              </w:rPr>
              <w:t xml:space="preserve"> </w:t>
            </w:r>
            <w:r>
              <w:rPr>
                <w:sz w:val="15"/>
                <w:szCs w:val="15"/>
              </w:rPr>
              <w:t>Champs obligatoires vides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DF121C8" w14:textId="77777777" w:rsidR="00721FCD" w:rsidRDefault="00721FCD" w:rsidP="00E14F8C">
            <w:pPr>
              <w:pBdr>
                <w:top w:val="single" w:sz="4" w:space="0" w:color="BFBFBF"/>
                <w:left w:val="single" w:sz="4" w:space="0" w:color="BFBFBF"/>
                <w:bottom w:val="single" w:sz="4" w:space="0" w:color="BFBFBF"/>
                <w:right w:val="single" w:sz="4" w:space="0" w:color="BFBFBF"/>
              </w:pBdr>
            </w:pPr>
            <w:r>
              <w:rPr>
                <w:sz w:val="15"/>
                <w:szCs w:val="15"/>
              </w:rPr>
              <w:t xml:space="preserve">  4 %</w:t>
            </w:r>
          </w:p>
        </w:tc>
        <w:tc>
          <w:tcPr>
            <w:tcW w:w="135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6A9EE72" w14:textId="77777777" w:rsidR="00721FCD" w:rsidRDefault="00721FCD" w:rsidP="00E14F8C">
            <w:r>
              <w:rPr>
                <w:b/>
                <w:bCs/>
                <w:color w:val="1E7A34"/>
                <w:sz w:val="14"/>
                <w:szCs w:val="14"/>
              </w:rPr>
              <w:t>Actif</w:t>
            </w:r>
          </w:p>
        </w:tc>
      </w:tr>
      <w:tr w:rsidR="00721FCD" w14:paraId="5C747B70" w14:textId="77777777" w:rsidTr="00E14F8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1B30F6F" w14:textId="77777777" w:rsidR="00721FCD" w:rsidRDefault="00721FCD" w:rsidP="00E14F8C">
            <w:r>
              <w:rPr>
                <w:b/>
                <w:bCs/>
                <w:sz w:val="15"/>
                <w:szCs w:val="15"/>
              </w:rPr>
              <w:t>B4</w:t>
            </w:r>
          </w:p>
        </w:tc>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D63E4D2" w14:textId="77777777" w:rsidR="00721FCD" w:rsidRDefault="00721FCD" w:rsidP="00E14F8C">
            <w:r>
              <w:rPr>
                <w:rFonts w:ascii="Segoe UI Symbol" w:hAnsi="Segoe UI Symbol" w:cs="Segoe UI Symbol"/>
                <w:sz w:val="18"/>
                <w:szCs w:val="18"/>
              </w:rPr>
              <w:t>☐</w:t>
            </w:r>
            <w:r>
              <w:rPr>
                <w:sz w:val="18"/>
                <w:szCs w:val="18"/>
              </w:rPr>
              <w:t xml:space="preserve"> </w:t>
            </w:r>
            <w:r>
              <w:rPr>
                <w:sz w:val="15"/>
                <w:szCs w:val="15"/>
              </w:rPr>
              <w:t>Formats de date incohérents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C4E41C7" w14:textId="77777777" w:rsidR="00721FCD" w:rsidRDefault="00721FCD" w:rsidP="00E14F8C">
            <w:pPr>
              <w:pBdr>
                <w:top w:val="single" w:sz="4" w:space="0" w:color="BFBFBF"/>
                <w:left w:val="single" w:sz="4" w:space="0" w:color="BFBFBF"/>
                <w:bottom w:val="single" w:sz="4" w:space="0" w:color="BFBFBF"/>
                <w:right w:val="single" w:sz="4" w:space="0" w:color="BFBFBF"/>
              </w:pBdr>
            </w:pPr>
            <w:r>
              <w:rPr>
                <w:i/>
                <w:iCs/>
                <w:color w:val="6B6B6B"/>
                <w:sz w:val="15"/>
                <w:szCs w:val="15"/>
              </w:rPr>
              <w:t xml:space="preserve">  —</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13E41F0" w14:textId="77777777" w:rsidR="00721FCD" w:rsidRDefault="00721FCD" w:rsidP="00E14F8C">
            <w:r>
              <w:rPr>
                <w:color w:val="6B6B6B"/>
                <w:sz w:val="14"/>
                <w:szCs w:val="14"/>
              </w:rPr>
              <w:t>Inactif</w:t>
            </w:r>
          </w:p>
        </w:tc>
      </w:tr>
      <w:tr w:rsidR="00721FCD" w14:paraId="2535BDE4" w14:textId="77777777" w:rsidTr="00E14F8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BB05D10" w14:textId="77777777" w:rsidR="00721FCD" w:rsidRDefault="00721FCD" w:rsidP="00E14F8C">
            <w:r>
              <w:rPr>
                <w:b/>
                <w:bCs/>
                <w:sz w:val="15"/>
                <w:szCs w:val="15"/>
              </w:rPr>
              <w:t>B6</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7EF25CD" w14:textId="77777777" w:rsidR="00721FCD" w:rsidRDefault="00721FCD" w:rsidP="00E14F8C">
            <w:r>
              <w:rPr>
                <w:rFonts w:ascii="Segoe UI Symbol" w:hAnsi="Segoe UI Symbol" w:cs="Segoe UI Symbol"/>
                <w:b/>
                <w:bCs/>
                <w:color w:val="1E2761"/>
                <w:sz w:val="18"/>
                <w:szCs w:val="18"/>
              </w:rPr>
              <w:t>☑</w:t>
            </w:r>
            <w:r>
              <w:rPr>
                <w:b/>
                <w:bCs/>
                <w:color w:val="1E2761"/>
                <w:sz w:val="18"/>
                <w:szCs w:val="18"/>
              </w:rPr>
              <w:t xml:space="preserve"> </w:t>
            </w:r>
            <w:r>
              <w:rPr>
                <w:sz w:val="15"/>
                <w:szCs w:val="15"/>
              </w:rPr>
              <w:t>Caractères spéciaux et encodages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C89EE08" w14:textId="77777777" w:rsidR="00721FCD" w:rsidRDefault="00721FCD" w:rsidP="00E14F8C">
            <w:pPr>
              <w:pBdr>
                <w:top w:val="single" w:sz="4" w:space="0" w:color="BFBFBF"/>
                <w:left w:val="single" w:sz="4" w:space="0" w:color="BFBFBF"/>
                <w:bottom w:val="single" w:sz="4" w:space="0" w:color="BFBFBF"/>
                <w:right w:val="single" w:sz="4" w:space="0" w:color="BFBFBF"/>
              </w:pBdr>
            </w:pPr>
            <w:r>
              <w:rPr>
                <w:sz w:val="15"/>
                <w:szCs w:val="15"/>
              </w:rPr>
              <w:t xml:space="preserve">  2 %</w:t>
            </w:r>
          </w:p>
        </w:tc>
        <w:tc>
          <w:tcPr>
            <w:tcW w:w="135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27D8A78" w14:textId="77777777" w:rsidR="00721FCD" w:rsidRDefault="00721FCD" w:rsidP="00E14F8C">
            <w:r>
              <w:rPr>
                <w:b/>
                <w:bCs/>
                <w:color w:val="1E7A34"/>
                <w:sz w:val="14"/>
                <w:szCs w:val="14"/>
              </w:rPr>
              <w:t>Actif</w:t>
            </w:r>
          </w:p>
        </w:tc>
      </w:tr>
      <w:tr w:rsidR="00721FCD" w14:paraId="10350106" w14:textId="77777777" w:rsidTr="00E14F8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9C29253" w14:textId="77777777" w:rsidR="00721FCD" w:rsidRDefault="00721FCD" w:rsidP="00E14F8C">
            <w:r>
              <w:rPr>
                <w:b/>
                <w:bCs/>
                <w:sz w:val="15"/>
                <w:szCs w:val="15"/>
              </w:rPr>
              <w:t>B7</w:t>
            </w:r>
          </w:p>
        </w:tc>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8743100" w14:textId="77777777" w:rsidR="00721FCD" w:rsidRDefault="00721FCD" w:rsidP="00E14F8C">
            <w:r>
              <w:rPr>
                <w:rFonts w:ascii="Segoe UI Symbol" w:hAnsi="Segoe UI Symbol" w:cs="Segoe UI Symbol"/>
                <w:sz w:val="18"/>
                <w:szCs w:val="18"/>
              </w:rPr>
              <w:t>☐</w:t>
            </w:r>
            <w:r>
              <w:rPr>
                <w:sz w:val="18"/>
                <w:szCs w:val="18"/>
              </w:rPr>
              <w:t xml:space="preserve"> </w:t>
            </w:r>
            <w:r>
              <w:rPr>
                <w:sz w:val="15"/>
                <w:szCs w:val="15"/>
              </w:rPr>
              <w:t>Valeurs hors liste autorisée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C88A556" w14:textId="77777777" w:rsidR="00721FCD" w:rsidRDefault="00721FCD" w:rsidP="00E14F8C">
            <w:pPr>
              <w:pBdr>
                <w:top w:val="single" w:sz="4" w:space="0" w:color="BFBFBF"/>
                <w:left w:val="single" w:sz="4" w:space="0" w:color="BFBFBF"/>
                <w:bottom w:val="single" w:sz="4" w:space="0" w:color="BFBFBF"/>
                <w:right w:val="single" w:sz="4" w:space="0" w:color="BFBFBF"/>
              </w:pBdr>
            </w:pPr>
            <w:r>
              <w:rPr>
                <w:i/>
                <w:iCs/>
                <w:color w:val="6B6B6B"/>
                <w:sz w:val="15"/>
                <w:szCs w:val="15"/>
              </w:rPr>
              <w:t xml:space="preserve">  —</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13BDA5E" w14:textId="77777777" w:rsidR="00721FCD" w:rsidRDefault="00721FCD" w:rsidP="00E14F8C">
            <w:r>
              <w:rPr>
                <w:color w:val="6B6B6B"/>
                <w:sz w:val="14"/>
                <w:szCs w:val="14"/>
              </w:rPr>
              <w:t>Inactif</w:t>
            </w:r>
          </w:p>
        </w:tc>
      </w:tr>
      <w:tr w:rsidR="00721FCD" w14:paraId="4AB53965" w14:textId="77777777" w:rsidTr="00E14F8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C74F17C" w14:textId="77777777" w:rsidR="00721FCD" w:rsidRDefault="00721FCD" w:rsidP="00E14F8C">
            <w:r>
              <w:rPr>
                <w:b/>
                <w:bCs/>
                <w:sz w:val="15"/>
                <w:szCs w:val="15"/>
              </w:rPr>
              <w:t>B8</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D6105A1" w14:textId="77777777" w:rsidR="00721FCD" w:rsidRDefault="00721FCD" w:rsidP="00E14F8C">
            <w:r>
              <w:rPr>
                <w:rFonts w:ascii="Segoe UI Symbol" w:hAnsi="Segoe UI Symbol" w:cs="Segoe UI Symbol"/>
                <w:b/>
                <w:bCs/>
                <w:color w:val="1E2761"/>
                <w:sz w:val="18"/>
                <w:szCs w:val="18"/>
              </w:rPr>
              <w:t>☑</w:t>
            </w:r>
            <w:r>
              <w:rPr>
                <w:b/>
                <w:bCs/>
                <w:color w:val="1E2761"/>
                <w:sz w:val="18"/>
                <w:szCs w:val="18"/>
              </w:rPr>
              <w:t xml:space="preserve"> </w:t>
            </w:r>
            <w:r>
              <w:rPr>
                <w:sz w:val="15"/>
                <w:szCs w:val="15"/>
              </w:rPr>
              <w:t>Références brisées (intégrité référentielle)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E21B453" w14:textId="77777777" w:rsidR="00721FCD" w:rsidRDefault="00721FCD" w:rsidP="00E14F8C">
            <w:pPr>
              <w:pBdr>
                <w:top w:val="single" w:sz="4" w:space="0" w:color="BFBFBF"/>
                <w:left w:val="single" w:sz="4" w:space="0" w:color="BFBFBF"/>
                <w:bottom w:val="single" w:sz="4" w:space="0" w:color="BFBFBF"/>
                <w:right w:val="single" w:sz="4" w:space="0" w:color="BFBFBF"/>
              </w:pBdr>
            </w:pPr>
            <w:r>
              <w:rPr>
                <w:sz w:val="15"/>
                <w:szCs w:val="15"/>
              </w:rPr>
              <w:t xml:space="preserve">  1 %</w:t>
            </w:r>
          </w:p>
        </w:tc>
        <w:tc>
          <w:tcPr>
            <w:tcW w:w="135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E0FAEE4" w14:textId="77777777" w:rsidR="00721FCD" w:rsidRDefault="00721FCD" w:rsidP="00E14F8C">
            <w:r>
              <w:rPr>
                <w:b/>
                <w:bCs/>
                <w:color w:val="1E7A34"/>
                <w:sz w:val="14"/>
                <w:szCs w:val="14"/>
              </w:rPr>
              <w:t>Actif</w:t>
            </w:r>
          </w:p>
        </w:tc>
      </w:tr>
      <w:tr w:rsidR="00721FCD" w14:paraId="1AA867E8" w14:textId="77777777" w:rsidTr="00E14F8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567A5FE" w14:textId="77777777" w:rsidR="00721FCD" w:rsidRDefault="00721FCD" w:rsidP="00E14F8C">
            <w:r>
              <w:rPr>
                <w:b/>
                <w:bCs/>
                <w:sz w:val="15"/>
                <w:szCs w:val="15"/>
              </w:rPr>
              <w:t>B9</w:t>
            </w:r>
          </w:p>
        </w:tc>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457D3FF" w14:textId="77777777" w:rsidR="00721FCD" w:rsidRDefault="00721FCD" w:rsidP="00E14F8C">
            <w:r>
              <w:rPr>
                <w:rFonts w:ascii="Segoe UI Symbol" w:hAnsi="Segoe UI Symbol" w:cs="Segoe UI Symbol"/>
                <w:sz w:val="18"/>
                <w:szCs w:val="18"/>
              </w:rPr>
              <w:t>☐</w:t>
            </w:r>
            <w:r>
              <w:rPr>
                <w:sz w:val="18"/>
                <w:szCs w:val="18"/>
              </w:rPr>
              <w:t xml:space="preserve"> </w:t>
            </w:r>
            <w:r>
              <w:rPr>
                <w:sz w:val="15"/>
                <w:szCs w:val="15"/>
              </w:rPr>
              <w:t>Incohérences logiques inter-champs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86CA57F" w14:textId="77777777" w:rsidR="00721FCD" w:rsidRDefault="00721FCD" w:rsidP="00E14F8C">
            <w:pPr>
              <w:pBdr>
                <w:top w:val="single" w:sz="4" w:space="0" w:color="BFBFBF"/>
                <w:left w:val="single" w:sz="4" w:space="0" w:color="BFBFBF"/>
                <w:bottom w:val="single" w:sz="4" w:space="0" w:color="BFBFBF"/>
                <w:right w:val="single" w:sz="4" w:space="0" w:color="BFBFBF"/>
              </w:pBdr>
            </w:pPr>
            <w:r>
              <w:rPr>
                <w:i/>
                <w:iCs/>
                <w:color w:val="6B6B6B"/>
                <w:sz w:val="15"/>
                <w:szCs w:val="15"/>
              </w:rPr>
              <w:t xml:space="preserve">  —</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15B408" w14:textId="77777777" w:rsidR="00721FCD" w:rsidRDefault="00721FCD" w:rsidP="00E14F8C">
            <w:r>
              <w:rPr>
                <w:color w:val="6B6B6B"/>
                <w:sz w:val="14"/>
                <w:szCs w:val="14"/>
              </w:rPr>
              <w:t>Inactif</w:t>
            </w:r>
          </w:p>
        </w:tc>
      </w:tr>
      <w:tr w:rsidR="00721FCD" w14:paraId="7FC7C2DE" w14:textId="77777777" w:rsidTr="00E14F8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9A6F052" w14:textId="77777777" w:rsidR="00721FCD" w:rsidRDefault="00721FCD" w:rsidP="00E14F8C">
            <w:r>
              <w:rPr>
                <w:b/>
                <w:bCs/>
                <w:sz w:val="15"/>
                <w:szCs w:val="15"/>
              </w:rPr>
              <w:t>B11</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45E46BE" w14:textId="77777777" w:rsidR="00721FCD" w:rsidRDefault="00721FCD" w:rsidP="00E14F8C">
            <w:r>
              <w:rPr>
                <w:rFonts w:ascii="Segoe UI Symbol" w:hAnsi="Segoe UI Symbol" w:cs="Segoe UI Symbol"/>
                <w:b/>
                <w:bCs/>
                <w:color w:val="1E2761"/>
                <w:sz w:val="18"/>
                <w:szCs w:val="18"/>
              </w:rPr>
              <w:t>☑</w:t>
            </w:r>
            <w:r>
              <w:rPr>
                <w:b/>
                <w:bCs/>
                <w:color w:val="1E2761"/>
                <w:sz w:val="18"/>
                <w:szCs w:val="18"/>
              </w:rPr>
              <w:t xml:space="preserve"> </w:t>
            </w:r>
            <w:r>
              <w:rPr>
                <w:sz w:val="15"/>
                <w:szCs w:val="15"/>
              </w:rPr>
              <w:t>Tentatives d'injection basique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FCCAF67" w14:textId="77777777" w:rsidR="00721FCD" w:rsidRDefault="00721FCD" w:rsidP="00E14F8C">
            <w:pPr>
              <w:pBdr>
                <w:top w:val="single" w:sz="4" w:space="0" w:color="BFBFBF"/>
                <w:left w:val="single" w:sz="4" w:space="0" w:color="BFBFBF"/>
                <w:bottom w:val="single" w:sz="4" w:space="0" w:color="BFBFBF"/>
                <w:right w:val="single" w:sz="4" w:space="0" w:color="BFBFBF"/>
              </w:pBdr>
            </w:pPr>
            <w:r>
              <w:rPr>
                <w:sz w:val="15"/>
                <w:szCs w:val="15"/>
              </w:rPr>
              <w:t xml:space="preserve">  1 %</w:t>
            </w:r>
          </w:p>
        </w:tc>
        <w:tc>
          <w:tcPr>
            <w:tcW w:w="135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A71EE16" w14:textId="77777777" w:rsidR="00721FCD" w:rsidRDefault="00721FCD" w:rsidP="00E14F8C">
            <w:r>
              <w:rPr>
                <w:b/>
                <w:bCs/>
                <w:color w:val="1E7A34"/>
                <w:sz w:val="14"/>
                <w:szCs w:val="14"/>
              </w:rPr>
              <w:t>Actif</w:t>
            </w:r>
          </w:p>
        </w:tc>
      </w:tr>
      <w:tr w:rsidR="00721FCD" w14:paraId="0AB9F3BC" w14:textId="77777777" w:rsidTr="00E14F8C">
        <w:trPr>
          <w:gridAfter w:val="1"/>
          <w:wAfter w:w="100" w:type="dxa"/>
        </w:trPr>
        <w:tc>
          <w:tcPr>
            <w:tcW w:w="4750" w:type="dxa"/>
            <w:tcBorders>
              <w:top w:val="none" w:sz="0" w:space="0" w:color="FFFFFF"/>
              <w:left w:val="none" w:sz="0" w:space="0" w:color="FFFFFF"/>
              <w:bottom w:val="none" w:sz="0" w:space="0" w:color="FFFFFF"/>
              <w:right w:val="none" w:sz="0" w:space="0" w:color="FFFFFF"/>
            </w:tcBorders>
            <w:shd w:val="clear" w:color="auto" w:fill="FFFFFF"/>
            <w:tcMar>
              <w:top w:w="200" w:type="dxa"/>
            </w:tcMar>
            <w:vAlign w:val="center"/>
          </w:tcPr>
          <w:p w14:paraId="2D8BA8AC" w14:textId="77777777" w:rsidR="00721FCD" w:rsidRDefault="00721FCD" w:rsidP="00E14F8C"/>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00" w:type="dxa"/>
              <w:bottom w:w="120" w:type="dxa"/>
              <w:right w:w="100" w:type="dxa"/>
            </w:tcMar>
            <w:vAlign w:val="center"/>
          </w:tcPr>
          <w:p w14:paraId="61D2A939" w14:textId="77777777" w:rsidR="00721FCD" w:rsidRDefault="00721FCD" w:rsidP="00E14F8C">
            <w:pPr>
              <w:jc w:val="center"/>
            </w:pPr>
            <w:r>
              <w:rPr>
                <w:b/>
                <w:bCs/>
                <w:color w:val="1E2761"/>
                <w:sz w:val="17"/>
                <w:szCs w:val="17"/>
              </w:rPr>
              <w:t>← Précédent</w:t>
            </w:r>
          </w:p>
        </w:tc>
        <w:tc>
          <w:tcPr>
            <w:tcW w:w="2600" w:type="dxa"/>
            <w:tcBorders>
              <w:top w:val="single" w:sz="4" w:space="0" w:color="BFBFBF"/>
              <w:left w:val="single" w:sz="4" w:space="0" w:color="BFBFBF"/>
              <w:bottom w:val="single" w:sz="4" w:space="0" w:color="BFBFBF"/>
              <w:right w:val="single" w:sz="4" w:space="0" w:color="BFBFBF"/>
            </w:tcBorders>
            <w:shd w:val="clear" w:color="auto" w:fill="C9752B"/>
            <w:tcMar>
              <w:top w:w="120" w:type="dxa"/>
              <w:left w:w="100" w:type="dxa"/>
              <w:bottom w:w="120" w:type="dxa"/>
              <w:right w:w="100" w:type="dxa"/>
            </w:tcMar>
            <w:vAlign w:val="center"/>
          </w:tcPr>
          <w:p w14:paraId="69B2C845" w14:textId="77777777" w:rsidR="00721FCD" w:rsidRDefault="00721FCD" w:rsidP="00E14F8C">
            <w:pPr>
              <w:jc w:val="center"/>
            </w:pPr>
            <w:r>
              <w:rPr>
                <w:b/>
                <w:bCs/>
                <w:color w:val="FFFFFF"/>
                <w:sz w:val="17"/>
                <w:szCs w:val="17"/>
              </w:rPr>
              <w:t>Suivant →</w:t>
            </w:r>
          </w:p>
        </w:tc>
      </w:tr>
    </w:tbl>
    <w:p w14:paraId="1AC81FA8" w14:textId="77777777" w:rsidR="00721FCD" w:rsidRPr="00721FCD" w:rsidRDefault="00721FCD" w:rsidP="00721FCD"/>
    <w:p w14:paraId="0A7337E4" w14:textId="77777777" w:rsidR="000D4E74" w:rsidRPr="00224EAE" w:rsidRDefault="00FE0062">
      <w:pPr>
        <w:pStyle w:val="Titre1"/>
        <w:pBdr>
          <w:bottom w:val="single" w:sz="8" w:space="6" w:color="C9752B"/>
        </w:pBdr>
        <w:spacing w:before="320" w:after="200"/>
        <w:rPr>
          <w:color w:val="000000" w:themeColor="text1"/>
        </w:rPr>
      </w:pPr>
      <w:bookmarkStart w:id="3" w:name="_Toc238477330"/>
      <w:r w:rsidRPr="00224EAE">
        <w:rPr>
          <w:rFonts w:ascii="Cambria" w:eastAsia="Cambria" w:hAnsi="Cambria" w:cs="Cambria"/>
          <w:b/>
          <w:bCs/>
          <w:color w:val="000000" w:themeColor="text1"/>
          <w:sz w:val="30"/>
          <w:szCs w:val="30"/>
        </w:rPr>
        <w:t>Chapitre 2</w:t>
      </w:r>
      <w:r w:rsidR="00CF3211" w:rsidRPr="00224EAE">
        <w:rPr>
          <w:rFonts w:ascii="Cambria" w:eastAsia="Cambria" w:hAnsi="Cambria" w:cs="Cambria"/>
          <w:b/>
          <w:bCs/>
          <w:color w:val="000000" w:themeColor="text1"/>
          <w:sz w:val="30"/>
          <w:szCs w:val="30"/>
        </w:rPr>
        <w:t> :</w:t>
      </w:r>
      <w:r w:rsidRPr="00224EAE">
        <w:rPr>
          <w:rFonts w:ascii="Cambria" w:eastAsia="Cambria" w:hAnsi="Cambria" w:cs="Cambria"/>
          <w:b/>
          <w:bCs/>
          <w:color w:val="000000" w:themeColor="text1"/>
          <w:sz w:val="30"/>
          <w:szCs w:val="30"/>
        </w:rPr>
        <w:t xml:space="preserve"> </w:t>
      </w:r>
      <w:r w:rsidR="00CF3211" w:rsidRPr="00224EAE">
        <w:rPr>
          <w:rFonts w:ascii="Cambria" w:eastAsia="Cambria" w:hAnsi="Cambria" w:cs="Cambria"/>
          <w:b/>
          <w:bCs/>
          <w:color w:val="000000" w:themeColor="text1"/>
          <w:sz w:val="30"/>
          <w:szCs w:val="30"/>
        </w:rPr>
        <w:t>Mode de communication des données entre le simulateur et l’outil</w:t>
      </w:r>
      <w:bookmarkEnd w:id="3"/>
    </w:p>
    <w:p w14:paraId="0133E0BA" w14:textId="77777777" w:rsidR="000D4E74" w:rsidRDefault="00FE0062">
      <w:pPr>
        <w:spacing w:after="160" w:line="280" w:lineRule="auto"/>
        <w:jc w:val="both"/>
      </w:pPr>
      <w:r>
        <w:t>Cette mécanique repose sur quatre étapes.</w:t>
      </w:r>
      <w:r w:rsidR="00147D64">
        <w:t xml:space="preserve"> Nous devons nous assurer que les données générées circulent correctement entre le simulateur et l’outil de qualité testé et que le résultat en revienne de façon exploitable pour le simulateur. </w:t>
      </w:r>
    </w:p>
    <w:p w14:paraId="3E40EA34" w14:textId="77777777" w:rsidR="000D4E74" w:rsidRPr="00B14F4C" w:rsidRDefault="00FE0062">
      <w:pPr>
        <w:pStyle w:val="Titre2"/>
        <w:spacing w:before="260" w:after="130"/>
        <w:rPr>
          <w:color w:val="auto"/>
        </w:rPr>
      </w:pPr>
      <w:bookmarkStart w:id="4" w:name="_Toc238477331"/>
      <w:r w:rsidRPr="00B14F4C">
        <w:rPr>
          <w:rFonts w:ascii="Cambria" w:eastAsia="Cambria" w:hAnsi="Cambria" w:cs="Cambria"/>
          <w:b/>
          <w:bCs/>
          <w:color w:val="auto"/>
          <w:sz w:val="25"/>
          <w:szCs w:val="25"/>
        </w:rPr>
        <w:t xml:space="preserve">2.1 L'envoi du jeu de données </w:t>
      </w:r>
      <w:r w:rsidR="00E07B8B" w:rsidRPr="00B14F4C">
        <w:rPr>
          <w:rFonts w:ascii="Cambria" w:eastAsia="Cambria" w:hAnsi="Cambria" w:cs="Cambria"/>
          <w:b/>
          <w:bCs/>
          <w:color w:val="auto"/>
          <w:sz w:val="25"/>
          <w:szCs w:val="25"/>
        </w:rPr>
        <w:t>erronée</w:t>
      </w:r>
      <w:bookmarkEnd w:id="4"/>
    </w:p>
    <w:p w14:paraId="5B65B44B" w14:textId="77777777" w:rsidR="000D4E74" w:rsidRDefault="00FE0062">
      <w:pPr>
        <w:spacing w:after="160" w:line="280" w:lineRule="auto"/>
        <w:jc w:val="both"/>
      </w:pPr>
      <w:r>
        <w:t xml:space="preserve">Le simulateur ne modifie </w:t>
      </w:r>
      <w:r w:rsidR="00E07B8B">
        <w:t>pas le mode de fonctionnement de</w:t>
      </w:r>
      <w:r>
        <w:t xml:space="preserve"> l'outil testé</w:t>
      </w:r>
      <w:r w:rsidR="00E07B8B">
        <w:t>. Il</w:t>
      </w:r>
      <w:r>
        <w:t xml:space="preserve"> lui transmet le jeu de données </w:t>
      </w:r>
      <w:r w:rsidR="00E07B8B">
        <w:t>erronées</w:t>
      </w:r>
      <w:r>
        <w:t xml:space="preserve"> </w:t>
      </w:r>
      <w:r w:rsidR="00E07B8B">
        <w:t>selon les types de canaux</w:t>
      </w:r>
      <w:r>
        <w:t xml:space="preserve"> que cet outil utilise pour recevoir de vraies données en production</w:t>
      </w:r>
      <w:r w:rsidR="00E07B8B">
        <w:t xml:space="preserve"> (</w:t>
      </w:r>
      <w:r>
        <w:t>fichier déposé, appel API, ou script d'insertion,</w:t>
      </w:r>
      <w:r w:rsidR="00E07B8B">
        <w:t xml:space="preserve"> etc.)</w:t>
      </w:r>
      <w:r>
        <w:t>.</w:t>
      </w:r>
    </w:p>
    <w:p w14:paraId="67C279A9" w14:textId="77777777" w:rsidR="000D4E74" w:rsidRDefault="00FE0062">
      <w:pPr>
        <w:spacing w:after="160" w:line="280" w:lineRule="auto"/>
        <w:jc w:val="both"/>
      </w:pPr>
      <w:r>
        <w:t>Deux modes de transmission sont possibles, et le simulateur doit pouvoir s'adapter à celui que l'outil testé impose :</w:t>
      </w:r>
    </w:p>
    <w:tbl>
      <w:tblPr>
        <w:tblW w:w="9350" w:type="dxa"/>
        <w:tblBorders>
          <w:top w:val="single" w:sz="4" w:space="0" w:color="BFBFBF"/>
          <w:left w:val="single" w:sz="4" w:space="0" w:color="BFBFBF"/>
          <w:bottom w:val="single" w:sz="4" w:space="0" w:color="BFBFBF"/>
          <w:right w:val="single" w:sz="4" w:space="0" w:color="BFBFBF"/>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2100"/>
        <w:gridCol w:w="4200"/>
        <w:gridCol w:w="3050"/>
      </w:tblGrid>
      <w:tr w:rsidR="000D4E74" w14:paraId="1570A9BA" w14:textId="77777777">
        <w:trPr>
          <w:cantSplit/>
          <w:tblHeader/>
        </w:trPr>
        <w:tc>
          <w:tcPr>
            <w:tcW w:w="2100" w:type="dxa"/>
            <w:shd w:val="clear" w:color="auto" w:fill="1E2761"/>
            <w:tcMar>
              <w:top w:w="90" w:type="dxa"/>
              <w:left w:w="120" w:type="dxa"/>
              <w:bottom w:w="90" w:type="dxa"/>
              <w:right w:w="120" w:type="dxa"/>
            </w:tcMar>
            <w:vAlign w:val="center"/>
          </w:tcPr>
          <w:p w14:paraId="2AC22F1F" w14:textId="77777777" w:rsidR="000D4E74" w:rsidRDefault="00FE0062">
            <w:r>
              <w:rPr>
                <w:b/>
                <w:bCs/>
                <w:color w:val="FFFFFF"/>
                <w:sz w:val="19"/>
                <w:szCs w:val="19"/>
              </w:rPr>
              <w:lastRenderedPageBreak/>
              <w:t>Mode</w:t>
            </w:r>
          </w:p>
        </w:tc>
        <w:tc>
          <w:tcPr>
            <w:tcW w:w="4200" w:type="dxa"/>
            <w:shd w:val="clear" w:color="auto" w:fill="1E2761"/>
            <w:tcMar>
              <w:top w:w="90" w:type="dxa"/>
              <w:left w:w="120" w:type="dxa"/>
              <w:bottom w:w="90" w:type="dxa"/>
              <w:right w:w="120" w:type="dxa"/>
            </w:tcMar>
            <w:vAlign w:val="center"/>
          </w:tcPr>
          <w:p w14:paraId="76969339" w14:textId="77777777" w:rsidR="000D4E74" w:rsidRDefault="00FE0062">
            <w:r>
              <w:rPr>
                <w:b/>
                <w:bCs/>
                <w:color w:val="FFFFFF"/>
                <w:sz w:val="19"/>
                <w:szCs w:val="19"/>
              </w:rPr>
              <w:t>Fonctionnement</w:t>
            </w:r>
          </w:p>
        </w:tc>
        <w:tc>
          <w:tcPr>
            <w:tcW w:w="3050" w:type="dxa"/>
            <w:shd w:val="clear" w:color="auto" w:fill="1E2761"/>
            <w:tcMar>
              <w:top w:w="90" w:type="dxa"/>
              <w:left w:w="120" w:type="dxa"/>
              <w:bottom w:w="90" w:type="dxa"/>
              <w:right w:w="120" w:type="dxa"/>
            </w:tcMar>
            <w:vAlign w:val="center"/>
          </w:tcPr>
          <w:p w14:paraId="099ADF2E" w14:textId="77777777" w:rsidR="000D4E74" w:rsidRDefault="00FE0062">
            <w:r>
              <w:rPr>
                <w:b/>
                <w:bCs/>
                <w:color w:val="FFFFFF"/>
                <w:sz w:val="19"/>
                <w:szCs w:val="19"/>
              </w:rPr>
              <w:t>Quand l'utiliser</w:t>
            </w:r>
          </w:p>
        </w:tc>
      </w:tr>
      <w:tr w:rsidR="000D4E74" w14:paraId="73968678" w14:textId="77777777">
        <w:trPr>
          <w:cantSplit/>
        </w:trPr>
        <w:tc>
          <w:tcPr>
            <w:tcW w:w="2100" w:type="dxa"/>
            <w:tcMar>
              <w:top w:w="90" w:type="dxa"/>
              <w:left w:w="120" w:type="dxa"/>
              <w:bottom w:w="90" w:type="dxa"/>
              <w:right w:w="120" w:type="dxa"/>
            </w:tcMar>
            <w:vAlign w:val="center"/>
          </w:tcPr>
          <w:p w14:paraId="1E2BF906" w14:textId="77777777" w:rsidR="000D4E74" w:rsidRDefault="00FE0062">
            <w:pPr>
              <w:spacing w:after="40"/>
            </w:pPr>
            <w:r>
              <w:rPr>
                <w:sz w:val="19"/>
                <w:szCs w:val="19"/>
              </w:rPr>
              <w:t>Poussé (push)</w:t>
            </w:r>
          </w:p>
        </w:tc>
        <w:tc>
          <w:tcPr>
            <w:tcW w:w="4200" w:type="dxa"/>
            <w:tcMar>
              <w:top w:w="90" w:type="dxa"/>
              <w:left w:w="120" w:type="dxa"/>
              <w:bottom w:w="90" w:type="dxa"/>
              <w:right w:w="120" w:type="dxa"/>
            </w:tcMar>
            <w:vAlign w:val="center"/>
          </w:tcPr>
          <w:p w14:paraId="17FD145A" w14:textId="77777777" w:rsidR="000D4E74" w:rsidRDefault="00FE0062">
            <w:pPr>
              <w:spacing w:after="40"/>
            </w:pPr>
            <w:r>
              <w:rPr>
                <w:sz w:val="19"/>
                <w:szCs w:val="19"/>
              </w:rPr>
              <w:t>Le simulateur dépose le fichier ou appelle directement l'API d'entrée de l'outil testé.</w:t>
            </w:r>
          </w:p>
        </w:tc>
        <w:tc>
          <w:tcPr>
            <w:tcW w:w="3050" w:type="dxa"/>
            <w:tcMar>
              <w:top w:w="90" w:type="dxa"/>
              <w:left w:w="120" w:type="dxa"/>
              <w:bottom w:w="90" w:type="dxa"/>
              <w:right w:w="120" w:type="dxa"/>
            </w:tcMar>
            <w:vAlign w:val="center"/>
          </w:tcPr>
          <w:p w14:paraId="63028ADF" w14:textId="77777777" w:rsidR="000D4E74" w:rsidRDefault="00FE0062">
            <w:pPr>
              <w:spacing w:after="40"/>
            </w:pPr>
            <w:r>
              <w:rPr>
                <w:sz w:val="19"/>
                <w:szCs w:val="19"/>
              </w:rPr>
              <w:t>Quand l'outil testé expose un point d'entrée standard (dossier surveillé, API d'import).</w:t>
            </w:r>
          </w:p>
        </w:tc>
      </w:tr>
      <w:tr w:rsidR="000D4E74" w14:paraId="26E5E243" w14:textId="77777777">
        <w:trPr>
          <w:cantSplit/>
        </w:trPr>
        <w:tc>
          <w:tcPr>
            <w:tcW w:w="2100" w:type="dxa"/>
            <w:shd w:val="clear" w:color="auto" w:fill="F2F2F2"/>
            <w:tcMar>
              <w:top w:w="90" w:type="dxa"/>
              <w:left w:w="120" w:type="dxa"/>
              <w:bottom w:w="90" w:type="dxa"/>
              <w:right w:w="120" w:type="dxa"/>
            </w:tcMar>
            <w:vAlign w:val="center"/>
          </w:tcPr>
          <w:p w14:paraId="70B1944A" w14:textId="77777777" w:rsidR="000D4E74" w:rsidRDefault="00FE0062">
            <w:pPr>
              <w:spacing w:after="40"/>
            </w:pPr>
            <w:r>
              <w:rPr>
                <w:sz w:val="19"/>
                <w:szCs w:val="19"/>
              </w:rPr>
              <w:t>À la demande (pull)</w:t>
            </w:r>
          </w:p>
        </w:tc>
        <w:tc>
          <w:tcPr>
            <w:tcW w:w="4200" w:type="dxa"/>
            <w:shd w:val="clear" w:color="auto" w:fill="F2F2F2"/>
            <w:tcMar>
              <w:top w:w="90" w:type="dxa"/>
              <w:left w:w="120" w:type="dxa"/>
              <w:bottom w:w="90" w:type="dxa"/>
              <w:right w:w="120" w:type="dxa"/>
            </w:tcMar>
            <w:vAlign w:val="center"/>
          </w:tcPr>
          <w:p w14:paraId="6792CDE5" w14:textId="77777777" w:rsidR="000D4E74" w:rsidRDefault="00FE0062">
            <w:pPr>
              <w:spacing w:after="40"/>
            </w:pPr>
            <w:r>
              <w:rPr>
                <w:sz w:val="19"/>
                <w:szCs w:val="19"/>
              </w:rPr>
              <w:t xml:space="preserve">Le simulateur met le jeu de données à disposition dans un emplacement partagé ; c'est l'outil testé qui vient le chercher </w:t>
            </w:r>
            <w:r w:rsidR="00E07B8B">
              <w:rPr>
                <w:sz w:val="19"/>
                <w:szCs w:val="19"/>
              </w:rPr>
              <w:t>selon la fréquence définie (traitement par lots / batch)</w:t>
            </w:r>
            <w:r>
              <w:rPr>
                <w:sz w:val="19"/>
                <w:szCs w:val="19"/>
              </w:rPr>
              <w:t>.</w:t>
            </w:r>
          </w:p>
        </w:tc>
        <w:tc>
          <w:tcPr>
            <w:tcW w:w="3050" w:type="dxa"/>
            <w:shd w:val="clear" w:color="auto" w:fill="F2F2F2"/>
            <w:tcMar>
              <w:top w:w="90" w:type="dxa"/>
              <w:left w:w="120" w:type="dxa"/>
              <w:bottom w:w="90" w:type="dxa"/>
              <w:right w:w="120" w:type="dxa"/>
            </w:tcMar>
            <w:vAlign w:val="center"/>
          </w:tcPr>
          <w:p w14:paraId="05F1C381" w14:textId="77777777" w:rsidR="000D4E74" w:rsidRDefault="00FE0062">
            <w:pPr>
              <w:spacing w:after="40"/>
            </w:pPr>
            <w:r>
              <w:rPr>
                <w:sz w:val="19"/>
                <w:szCs w:val="19"/>
              </w:rPr>
              <w:t>Quand l'outil testé fonctionne par cycles planifiés (traitement de nuit, import périodique) plutôt qu'en temps réel.</w:t>
            </w:r>
          </w:p>
        </w:tc>
      </w:tr>
    </w:tbl>
    <w:p w14:paraId="5C25F93B" w14:textId="77777777" w:rsidR="000D4E74" w:rsidRDefault="00FE0062">
      <w:pPr>
        <w:spacing w:after="160" w:line="280" w:lineRule="auto"/>
        <w:jc w:val="both"/>
      </w:pPr>
      <w:r>
        <w:t>Le format du fichier suit les formats retenus pour les exports du simulateur : CSV, Excel, JSON ou script d'insertion SQL — celui qui correspond au canal réel de l'outil testé, pas un format imposé arbitrairement</w:t>
      </w:r>
      <w:r w:rsidR="00E07B8B">
        <w:t xml:space="preserve">. </w:t>
      </w:r>
    </w:p>
    <w:p w14:paraId="37D744EB" w14:textId="77777777" w:rsidR="000D4E74" w:rsidRPr="00B14F4C" w:rsidRDefault="00FE0062">
      <w:pPr>
        <w:pStyle w:val="Titre2"/>
        <w:spacing w:before="260" w:after="130"/>
        <w:rPr>
          <w:color w:val="auto"/>
        </w:rPr>
      </w:pPr>
      <w:bookmarkStart w:id="5" w:name="_Toc238477332"/>
      <w:r w:rsidRPr="00B14F4C">
        <w:rPr>
          <w:rFonts w:ascii="Cambria" w:eastAsia="Cambria" w:hAnsi="Cambria" w:cs="Cambria"/>
          <w:b/>
          <w:bCs/>
          <w:color w:val="auto"/>
          <w:sz w:val="25"/>
          <w:szCs w:val="25"/>
        </w:rPr>
        <w:t>2.2 Le marquage : une donnée de test reste une donnée de test</w:t>
      </w:r>
      <w:bookmarkEnd w:id="5"/>
    </w:p>
    <w:p w14:paraId="587BC835" w14:textId="77777777" w:rsidR="000D4E74" w:rsidRDefault="00FE0062">
      <w:pPr>
        <w:spacing w:after="160" w:line="280" w:lineRule="auto"/>
        <w:jc w:val="both"/>
      </w:pPr>
      <w:r>
        <w:t xml:space="preserve">Chaque enregistrement envoyé </w:t>
      </w:r>
      <w:r w:rsidRPr="00CC08DA">
        <w:rPr>
          <w:b/>
          <w:bCs/>
        </w:rPr>
        <w:t>porte un marquage systématique et non désactivable identifiant qu'il s'agit d'une donnée fictive</w:t>
      </w:r>
      <w:r>
        <w:t>. Ce marquage suit la donnée même après son passage dans l'outil testé, pour qu'à aucun moment un enregistrement de test ne puisse être confondu avec une donnée réelle, y compris dans les journaux, les tableaux de bord ou les exports de l'outil testé lui-même.</w:t>
      </w:r>
    </w:p>
    <w:p w14:paraId="1FBC751E" w14:textId="77777777" w:rsidR="000D4E74" w:rsidRPr="00B14F4C" w:rsidRDefault="00FE0062">
      <w:pPr>
        <w:pStyle w:val="Titre2"/>
        <w:spacing w:before="260" w:after="130"/>
        <w:rPr>
          <w:color w:val="auto"/>
        </w:rPr>
      </w:pPr>
      <w:bookmarkStart w:id="6" w:name="_Toc238477333"/>
      <w:r w:rsidRPr="00B14F4C">
        <w:rPr>
          <w:rFonts w:ascii="Cambria" w:eastAsia="Cambria" w:hAnsi="Cambria" w:cs="Cambria"/>
          <w:b/>
          <w:bCs/>
          <w:color w:val="auto"/>
          <w:sz w:val="25"/>
          <w:szCs w:val="25"/>
        </w:rPr>
        <w:t>2.3 La réception du rapport de l'outil testé</w:t>
      </w:r>
      <w:bookmarkEnd w:id="6"/>
    </w:p>
    <w:p w14:paraId="1BE5CDE7" w14:textId="77777777" w:rsidR="000D4E74" w:rsidRDefault="00FE0062">
      <w:pPr>
        <w:spacing w:after="160" w:line="280" w:lineRule="auto"/>
        <w:jc w:val="both"/>
      </w:pPr>
      <w:r>
        <w:t>Une fois son analyse terminée, l'outil testé produit un rapport listant les anomalies qu'il a détectées. Le simulateur récupère ce rapport de la même façon qu'il a envoyé les données.</w:t>
      </w:r>
    </w:p>
    <w:p w14:paraId="5A18CDC4" w14:textId="77777777" w:rsidR="00CC08DA" w:rsidRDefault="00FE0062">
      <w:pPr>
        <w:spacing w:after="160" w:line="280" w:lineRule="auto"/>
        <w:jc w:val="both"/>
      </w:pPr>
      <w:r>
        <w:t xml:space="preserve">Pour que la comparaison avec le corrigé soit possible, le rapport reçu doit permettre d'identifier, pour chaque anomalie signalée par l'outil testé, au minimum : </w:t>
      </w:r>
    </w:p>
    <w:p w14:paraId="049AB08C" w14:textId="77777777" w:rsidR="00CC08DA" w:rsidRDefault="00CC08DA" w:rsidP="00CC08DA">
      <w:pPr>
        <w:pStyle w:val="Paragraphedeliste"/>
        <w:numPr>
          <w:ilvl w:val="0"/>
          <w:numId w:val="6"/>
        </w:numPr>
        <w:spacing w:after="160" w:line="280" w:lineRule="auto"/>
        <w:jc w:val="both"/>
      </w:pPr>
      <w:r>
        <w:t>La</w:t>
      </w:r>
      <w:r w:rsidR="00FE0062">
        <w:t xml:space="preserve"> ligne concernée, le champ concerné, </w:t>
      </w:r>
    </w:p>
    <w:p w14:paraId="3D73A441" w14:textId="77777777" w:rsidR="00CC08DA" w:rsidRDefault="00CC08DA" w:rsidP="00CC08DA">
      <w:pPr>
        <w:pStyle w:val="Paragraphedeliste"/>
        <w:numPr>
          <w:ilvl w:val="0"/>
          <w:numId w:val="6"/>
        </w:numPr>
        <w:spacing w:after="160" w:line="280" w:lineRule="auto"/>
        <w:jc w:val="both"/>
      </w:pPr>
      <w:r>
        <w:t>Le</w:t>
      </w:r>
      <w:r w:rsidR="00FE0062">
        <w:t xml:space="preserve"> type d'anomalie signalé. </w:t>
      </w:r>
    </w:p>
    <w:p w14:paraId="187130B3" w14:textId="77777777" w:rsidR="000D4E74" w:rsidRDefault="00FE0062" w:rsidP="00CC08DA">
      <w:pPr>
        <w:spacing w:after="160" w:line="280" w:lineRule="auto"/>
        <w:jc w:val="both"/>
      </w:pPr>
      <w:r>
        <w:t>Si l'outil testé produit un rapport qui ne permet pas cette identification précise (par exemple, un simple score global sans détail ligne par ligne), le simulateur ne peut pas produire de mesure fiable</w:t>
      </w:r>
      <w:r w:rsidR="00CC08DA">
        <w:t>. C’est</w:t>
      </w:r>
      <w:r>
        <w:t xml:space="preserve"> </w:t>
      </w:r>
      <w:r w:rsidR="00CC08DA">
        <w:t xml:space="preserve">une </w:t>
      </w:r>
      <w:r>
        <w:t>information sur l'outil testé, à documenter plutôt qu'à contourner.</w:t>
      </w:r>
    </w:p>
    <w:p w14:paraId="496609C2" w14:textId="77777777" w:rsidR="000D4E74" w:rsidRPr="00B14F4C" w:rsidRDefault="00FE0062">
      <w:pPr>
        <w:pStyle w:val="Titre2"/>
        <w:spacing w:before="260" w:after="130"/>
        <w:rPr>
          <w:color w:val="auto"/>
        </w:rPr>
      </w:pPr>
      <w:bookmarkStart w:id="7" w:name="_Toc238477334"/>
      <w:r w:rsidRPr="00B14F4C">
        <w:rPr>
          <w:rFonts w:ascii="Cambria" w:eastAsia="Cambria" w:hAnsi="Cambria" w:cs="Cambria"/>
          <w:b/>
          <w:bCs/>
          <w:color w:val="auto"/>
          <w:sz w:val="25"/>
          <w:szCs w:val="25"/>
        </w:rPr>
        <w:t>2.4 Le rapprochement automatique avec le corrigé</w:t>
      </w:r>
      <w:bookmarkEnd w:id="7"/>
    </w:p>
    <w:p w14:paraId="6A91434C" w14:textId="77777777" w:rsidR="000D4E74" w:rsidRDefault="00FE0062">
      <w:pPr>
        <w:spacing w:after="160" w:line="280" w:lineRule="auto"/>
        <w:jc w:val="both"/>
      </w:pPr>
      <w:r>
        <w:t>Une fois le rapport reçu, le simulateur le confronte automatiquement à son corrigé, ligne par ligne :</w:t>
      </w:r>
    </w:p>
    <w:p w14:paraId="61CFA30F" w14:textId="77777777" w:rsidR="000D4E74" w:rsidRDefault="00FE0062">
      <w:pPr>
        <w:pStyle w:val="Paragraphedeliste"/>
        <w:numPr>
          <w:ilvl w:val="0"/>
          <w:numId w:val="7"/>
        </w:numPr>
        <w:spacing w:after="90" w:line="270" w:lineRule="auto"/>
      </w:pPr>
      <w:r>
        <w:t>Une anomalie du corrigé retrouvée dans le rapport de l'outil testé compte comme une détection réussie.</w:t>
      </w:r>
      <w:r w:rsidR="00405885" w:rsidRPr="00405885">
        <w:t xml:space="preserve"> </w:t>
      </w:r>
      <w:r w:rsidR="00405885" w:rsidRPr="00CC08DA">
        <w:rPr>
          <w:b/>
          <w:bCs/>
        </w:rPr>
        <w:t>Vrais Positifs (Succès)</w:t>
      </w:r>
    </w:p>
    <w:p w14:paraId="75AF583A" w14:textId="77777777" w:rsidR="000D4E74" w:rsidRDefault="00FE0062">
      <w:pPr>
        <w:pStyle w:val="Paragraphedeliste"/>
        <w:numPr>
          <w:ilvl w:val="0"/>
          <w:numId w:val="7"/>
        </w:numPr>
        <w:spacing w:after="90" w:line="270" w:lineRule="auto"/>
      </w:pPr>
      <w:r>
        <w:t xml:space="preserve">Une anomalie du corrigé absente du rapport compte comme une anomalie manquée </w:t>
      </w:r>
      <w:r w:rsidRPr="00CC08DA">
        <w:rPr>
          <w:b/>
          <w:bCs/>
        </w:rPr>
        <w:t>(faux négatif).</w:t>
      </w:r>
      <w:r w:rsidR="00405885" w:rsidRPr="00CC08DA">
        <w:rPr>
          <w:b/>
          <w:bCs/>
        </w:rPr>
        <w:t xml:space="preserve"> </w:t>
      </w:r>
      <w:r w:rsidR="00405885" w:rsidRPr="00405885">
        <w:t>(</w:t>
      </w:r>
      <w:proofErr w:type="gramStart"/>
      <w:r w:rsidR="00405885" w:rsidRPr="00405885">
        <w:t>ex.</w:t>
      </w:r>
      <w:proofErr w:type="gramEnd"/>
      <w:r w:rsidR="00405885" w:rsidRPr="00405885">
        <w:t xml:space="preserve"> le doublon « N'Guessan / Nguessan » est passé inaperçu).</w:t>
      </w:r>
    </w:p>
    <w:p w14:paraId="62D8AAD8" w14:textId="77777777" w:rsidR="000D4E74" w:rsidRDefault="00FE0062">
      <w:pPr>
        <w:pStyle w:val="Paragraphedeliste"/>
        <w:numPr>
          <w:ilvl w:val="0"/>
          <w:numId w:val="7"/>
        </w:numPr>
        <w:spacing w:after="90" w:line="270" w:lineRule="auto"/>
      </w:pPr>
      <w:r>
        <w:t xml:space="preserve">Une anomalie signalée par l'outil testé mais absente du corrigé compte comme une fausse alerte </w:t>
      </w:r>
      <w:r w:rsidRPr="00CC08DA">
        <w:rPr>
          <w:b/>
          <w:bCs/>
        </w:rPr>
        <w:t>(faux positif)</w:t>
      </w:r>
      <w:r w:rsidR="00405885">
        <w:t xml:space="preserve"> </w:t>
      </w:r>
      <w:r w:rsidR="00405885" w:rsidRPr="00405885">
        <w:t>(ex. un nom composé légitime considéré à tort comme un doublon).</w:t>
      </w:r>
    </w:p>
    <w:p w14:paraId="2D1F1163" w14:textId="77777777" w:rsidR="000D4E74" w:rsidRDefault="00FE0062">
      <w:pPr>
        <w:spacing w:after="160" w:line="280" w:lineRule="auto"/>
        <w:jc w:val="both"/>
      </w:pPr>
      <w:r>
        <w:t>C'est ce rapprochement qui produit directement les taux de détection et de faux positifs déjà présentés dans le rapport de résultats de chaque campagne.</w:t>
      </w:r>
    </w:p>
    <w:p w14:paraId="1BEAD28B" w14:textId="77777777" w:rsidR="004F4FBD" w:rsidRPr="004F4FBD" w:rsidRDefault="004F4FBD" w:rsidP="004F4FBD">
      <w:pPr>
        <w:spacing w:after="160" w:line="280" w:lineRule="auto"/>
        <w:jc w:val="both"/>
      </w:pPr>
      <w:r w:rsidRPr="004F4FBD">
        <w:rPr>
          <w:b/>
          <w:bCs/>
        </w:rPr>
        <w:t>Indicateurs affichés dans l'interface :</w:t>
      </w:r>
    </w:p>
    <w:p w14:paraId="1A9BCE3A" w14:textId="77777777" w:rsidR="004F4FBD" w:rsidRPr="004F4FBD" w:rsidRDefault="004F4FBD" w:rsidP="004F4FBD">
      <w:pPr>
        <w:numPr>
          <w:ilvl w:val="0"/>
          <w:numId w:val="3"/>
        </w:numPr>
        <w:spacing w:after="160" w:line="280" w:lineRule="auto"/>
        <w:jc w:val="both"/>
      </w:pPr>
      <w:r w:rsidRPr="004F4FBD">
        <w:rPr>
          <w:b/>
          <w:bCs/>
        </w:rPr>
        <w:lastRenderedPageBreak/>
        <w:t>Taux de Rappel (Sensibilité) :</w:t>
      </w:r>
      <w:r w:rsidRPr="004F4FBD">
        <w:t xml:space="preserve"> Capacité de l'outil à ne rater aucune vraie erreur (</w:t>
      </w:r>
      <w:r>
        <w:t>Vrais Positifs ÷ Total des erreurs injectées</w:t>
      </w:r>
      <w:r w:rsidRPr="004F4FBD">
        <w:t>).</w:t>
      </w:r>
    </w:p>
    <w:p w14:paraId="66435598" w14:textId="77777777" w:rsidR="004F4FBD" w:rsidRDefault="004F4FBD" w:rsidP="004F4FBD">
      <w:pPr>
        <w:numPr>
          <w:ilvl w:val="0"/>
          <w:numId w:val="3"/>
        </w:numPr>
        <w:spacing w:after="160" w:line="280" w:lineRule="auto"/>
        <w:jc w:val="both"/>
      </w:pPr>
      <w:r w:rsidRPr="004F4FBD">
        <w:rPr>
          <w:b/>
          <w:bCs/>
        </w:rPr>
        <w:t>Taux de Précision :</w:t>
      </w:r>
      <w:r w:rsidRPr="004F4FBD">
        <w:t xml:space="preserve"> Capacité de l'outil à ne pas déclencher de fausses alertes (</w:t>
      </w:r>
      <w:r>
        <w:t>Vrais Positifs ÷ Total des alertes levées</w:t>
      </w:r>
      <w:r w:rsidRPr="004F4FBD">
        <w:t>).</w:t>
      </w:r>
    </w:p>
    <w:p w14:paraId="40378FD8" w14:textId="77777777" w:rsidR="006A26C0" w:rsidRDefault="008A42FB">
      <w:r>
        <w:rPr>
          <w:b/>
        </w:rPr>
        <w:t>Écran : Résultats d'une campagne (à titre indicatif)</w:t>
      </w:r>
    </w:p>
    <w:p w14:paraId="2E963354" w14:textId="77777777" w:rsidR="006A26C0" w:rsidRDefault="008A42FB">
      <w:r>
        <w:rPr>
          <w:i/>
          <w:sz w:val="20"/>
        </w:rPr>
        <w:t>Une fois le rapprochement effectué, l'interface affiche automatiquement le score de la campagne.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98"/>
        <w:gridCol w:w="3099"/>
        <w:gridCol w:w="3099"/>
      </w:tblGrid>
      <w:tr w:rsidR="006A26C0" w14:paraId="3A152334" w14:textId="77777777">
        <w:tc>
          <w:tcPr>
            <w:tcW w:w="9306" w:type="dxa"/>
            <w:gridSpan w:val="3"/>
            <w:shd w:val="clear" w:color="auto" w:fill="1E2761"/>
          </w:tcPr>
          <w:p w14:paraId="533BD988" w14:textId="77777777" w:rsidR="006A26C0" w:rsidRDefault="008A42FB">
            <w:r>
              <w:rPr>
                <w:b/>
                <w:color w:val="FFFFFF"/>
                <w:sz w:val="18"/>
              </w:rPr>
              <w:t>RÉSULTATS — Campagne C-2026-018</w:t>
            </w:r>
          </w:p>
        </w:tc>
      </w:tr>
      <w:tr w:rsidR="006A26C0" w14:paraId="2164C37D" w14:textId="77777777">
        <w:tc>
          <w:tcPr>
            <w:tcW w:w="3102" w:type="dxa"/>
          </w:tcPr>
          <w:p w14:paraId="57F451D7" w14:textId="77777777" w:rsidR="006A26C0" w:rsidRDefault="008A42FB">
            <w:r>
              <w:rPr>
                <w:b/>
                <w:sz w:val="18"/>
              </w:rPr>
              <w:t>Taux de Rappel : 94 %</w:t>
            </w:r>
          </w:p>
        </w:tc>
        <w:tc>
          <w:tcPr>
            <w:tcW w:w="3102" w:type="dxa"/>
          </w:tcPr>
          <w:p w14:paraId="52F477AD" w14:textId="77777777" w:rsidR="006A26C0" w:rsidRDefault="008A42FB">
            <w:r>
              <w:rPr>
                <w:b/>
                <w:sz w:val="18"/>
              </w:rPr>
              <w:t>Taux de Précision : 97 %</w:t>
            </w:r>
          </w:p>
        </w:tc>
        <w:tc>
          <w:tcPr>
            <w:tcW w:w="3102" w:type="dxa"/>
          </w:tcPr>
          <w:p w14:paraId="07A00822" w14:textId="77777777" w:rsidR="006A26C0" w:rsidRDefault="008A42FB">
            <w:r>
              <w:rPr>
                <w:b/>
                <w:sz w:val="18"/>
              </w:rPr>
              <w:t>Vrais Positifs : 470 / 500</w:t>
            </w:r>
          </w:p>
        </w:tc>
      </w:tr>
    </w:tbl>
    <w:p w14:paraId="31AC62A9" w14:textId="77777777" w:rsidR="006A26C0" w:rsidRDefault="006A26C0"/>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60"/>
        <w:gridCol w:w="1859"/>
        <w:gridCol w:w="1859"/>
        <w:gridCol w:w="1859"/>
        <w:gridCol w:w="1859"/>
      </w:tblGrid>
      <w:tr w:rsidR="006A26C0" w14:paraId="53EFFF05" w14:textId="77777777">
        <w:tc>
          <w:tcPr>
            <w:tcW w:w="1861" w:type="dxa"/>
            <w:shd w:val="clear" w:color="auto" w:fill="1E2761"/>
          </w:tcPr>
          <w:p w14:paraId="3D51B57A" w14:textId="77777777" w:rsidR="006A26C0" w:rsidRDefault="008A42FB">
            <w:r>
              <w:rPr>
                <w:b/>
                <w:color w:val="FFFFFF"/>
                <w:sz w:val="18"/>
              </w:rPr>
              <w:t>Type d'anomalie</w:t>
            </w:r>
          </w:p>
        </w:tc>
        <w:tc>
          <w:tcPr>
            <w:tcW w:w="1861" w:type="dxa"/>
            <w:shd w:val="clear" w:color="auto" w:fill="1E2761"/>
          </w:tcPr>
          <w:p w14:paraId="02ABD91F" w14:textId="77777777" w:rsidR="006A26C0" w:rsidRDefault="008A42FB">
            <w:r>
              <w:rPr>
                <w:b/>
                <w:color w:val="FFFFFF"/>
                <w:sz w:val="18"/>
              </w:rPr>
              <w:t>Injectées</w:t>
            </w:r>
          </w:p>
        </w:tc>
        <w:tc>
          <w:tcPr>
            <w:tcW w:w="1861" w:type="dxa"/>
            <w:shd w:val="clear" w:color="auto" w:fill="1E2761"/>
          </w:tcPr>
          <w:p w14:paraId="15B53EE6" w14:textId="77777777" w:rsidR="006A26C0" w:rsidRDefault="008A42FB">
            <w:r>
              <w:rPr>
                <w:b/>
                <w:color w:val="FFFFFF"/>
                <w:sz w:val="18"/>
              </w:rPr>
              <w:t>Vrais Positifs</w:t>
            </w:r>
          </w:p>
        </w:tc>
        <w:tc>
          <w:tcPr>
            <w:tcW w:w="1861" w:type="dxa"/>
            <w:shd w:val="clear" w:color="auto" w:fill="1E2761"/>
          </w:tcPr>
          <w:p w14:paraId="653ABFB7" w14:textId="77777777" w:rsidR="006A26C0" w:rsidRDefault="008A42FB">
            <w:r>
              <w:rPr>
                <w:b/>
                <w:color w:val="FFFFFF"/>
                <w:sz w:val="18"/>
              </w:rPr>
              <w:t>Faux Négatifs</w:t>
            </w:r>
          </w:p>
        </w:tc>
        <w:tc>
          <w:tcPr>
            <w:tcW w:w="1861" w:type="dxa"/>
            <w:shd w:val="clear" w:color="auto" w:fill="1E2761"/>
          </w:tcPr>
          <w:p w14:paraId="19D9CF3C" w14:textId="77777777" w:rsidR="006A26C0" w:rsidRDefault="008A42FB">
            <w:r>
              <w:rPr>
                <w:b/>
                <w:color w:val="FFFFFF"/>
                <w:sz w:val="18"/>
              </w:rPr>
              <w:t>Faux Positifs</w:t>
            </w:r>
          </w:p>
        </w:tc>
      </w:tr>
      <w:tr w:rsidR="006A26C0" w14:paraId="4C072A39" w14:textId="77777777">
        <w:tc>
          <w:tcPr>
            <w:tcW w:w="1861" w:type="dxa"/>
          </w:tcPr>
          <w:p w14:paraId="391754EF" w14:textId="77777777" w:rsidR="006A26C0" w:rsidRDefault="008A42FB">
            <w:r>
              <w:rPr>
                <w:sz w:val="18"/>
              </w:rPr>
              <w:t>B1 — Doublons exacts</w:t>
            </w:r>
          </w:p>
        </w:tc>
        <w:tc>
          <w:tcPr>
            <w:tcW w:w="1861" w:type="dxa"/>
          </w:tcPr>
          <w:p w14:paraId="4F2220CD" w14:textId="77777777" w:rsidR="006A26C0" w:rsidRDefault="008A42FB">
            <w:r>
              <w:rPr>
                <w:sz w:val="18"/>
              </w:rPr>
              <w:t>100</w:t>
            </w:r>
          </w:p>
        </w:tc>
        <w:tc>
          <w:tcPr>
            <w:tcW w:w="1861" w:type="dxa"/>
          </w:tcPr>
          <w:p w14:paraId="6B51395A" w14:textId="77777777" w:rsidR="006A26C0" w:rsidRDefault="008A42FB">
            <w:r>
              <w:rPr>
                <w:sz w:val="18"/>
              </w:rPr>
              <w:t>100</w:t>
            </w:r>
          </w:p>
        </w:tc>
        <w:tc>
          <w:tcPr>
            <w:tcW w:w="1861" w:type="dxa"/>
          </w:tcPr>
          <w:p w14:paraId="26122C94" w14:textId="77777777" w:rsidR="006A26C0" w:rsidRDefault="008A42FB">
            <w:r>
              <w:rPr>
                <w:sz w:val="18"/>
              </w:rPr>
              <w:t>0</w:t>
            </w:r>
          </w:p>
        </w:tc>
        <w:tc>
          <w:tcPr>
            <w:tcW w:w="1861" w:type="dxa"/>
          </w:tcPr>
          <w:p w14:paraId="2244FF69" w14:textId="77777777" w:rsidR="006A26C0" w:rsidRDefault="008A42FB">
            <w:r>
              <w:rPr>
                <w:sz w:val="18"/>
              </w:rPr>
              <w:t>0</w:t>
            </w:r>
          </w:p>
        </w:tc>
      </w:tr>
      <w:tr w:rsidR="006A26C0" w14:paraId="190EE452" w14:textId="77777777">
        <w:tc>
          <w:tcPr>
            <w:tcW w:w="1861" w:type="dxa"/>
            <w:shd w:val="clear" w:color="auto" w:fill="F2F2F2"/>
          </w:tcPr>
          <w:p w14:paraId="49EBA6B2" w14:textId="77777777" w:rsidR="006A26C0" w:rsidRDefault="008A42FB">
            <w:r>
              <w:rPr>
                <w:sz w:val="18"/>
              </w:rPr>
              <w:t>B2 — Doublons approximatifs</w:t>
            </w:r>
          </w:p>
        </w:tc>
        <w:tc>
          <w:tcPr>
            <w:tcW w:w="1861" w:type="dxa"/>
            <w:shd w:val="clear" w:color="auto" w:fill="F2F2F2"/>
          </w:tcPr>
          <w:p w14:paraId="7066DA45" w14:textId="77777777" w:rsidR="006A26C0" w:rsidRDefault="008A42FB">
            <w:r>
              <w:rPr>
                <w:sz w:val="18"/>
              </w:rPr>
              <w:t>60</w:t>
            </w:r>
          </w:p>
        </w:tc>
        <w:tc>
          <w:tcPr>
            <w:tcW w:w="1861" w:type="dxa"/>
            <w:shd w:val="clear" w:color="auto" w:fill="F2F2F2"/>
          </w:tcPr>
          <w:p w14:paraId="34D08094" w14:textId="77777777" w:rsidR="006A26C0" w:rsidRDefault="008A42FB">
            <w:r>
              <w:rPr>
                <w:sz w:val="18"/>
              </w:rPr>
              <w:t>51</w:t>
            </w:r>
          </w:p>
        </w:tc>
        <w:tc>
          <w:tcPr>
            <w:tcW w:w="1861" w:type="dxa"/>
            <w:shd w:val="clear" w:color="auto" w:fill="F2F2F2"/>
          </w:tcPr>
          <w:p w14:paraId="3DE17CD1" w14:textId="77777777" w:rsidR="006A26C0" w:rsidRDefault="008A42FB">
            <w:r>
              <w:rPr>
                <w:sz w:val="18"/>
              </w:rPr>
              <w:t>9</w:t>
            </w:r>
          </w:p>
        </w:tc>
        <w:tc>
          <w:tcPr>
            <w:tcW w:w="1861" w:type="dxa"/>
            <w:shd w:val="clear" w:color="auto" w:fill="F2F2F2"/>
          </w:tcPr>
          <w:p w14:paraId="0E7E299B" w14:textId="77777777" w:rsidR="006A26C0" w:rsidRDefault="008A42FB">
            <w:r>
              <w:rPr>
                <w:sz w:val="18"/>
              </w:rPr>
              <w:t>3</w:t>
            </w:r>
          </w:p>
        </w:tc>
      </w:tr>
      <w:tr w:rsidR="006A26C0" w14:paraId="4A804C1C" w14:textId="77777777">
        <w:tc>
          <w:tcPr>
            <w:tcW w:w="1861" w:type="dxa"/>
          </w:tcPr>
          <w:p w14:paraId="6B59DC6D" w14:textId="77777777" w:rsidR="006A26C0" w:rsidRDefault="008A42FB">
            <w:r>
              <w:rPr>
                <w:sz w:val="18"/>
              </w:rPr>
              <w:t>B6 — Caractères spéciaux</w:t>
            </w:r>
          </w:p>
        </w:tc>
        <w:tc>
          <w:tcPr>
            <w:tcW w:w="1861" w:type="dxa"/>
          </w:tcPr>
          <w:p w14:paraId="716A3C1A" w14:textId="77777777" w:rsidR="006A26C0" w:rsidRDefault="008A42FB">
            <w:r>
              <w:rPr>
                <w:sz w:val="18"/>
              </w:rPr>
              <w:t>40</w:t>
            </w:r>
          </w:p>
        </w:tc>
        <w:tc>
          <w:tcPr>
            <w:tcW w:w="1861" w:type="dxa"/>
          </w:tcPr>
          <w:p w14:paraId="1390B10D" w14:textId="77777777" w:rsidR="006A26C0" w:rsidRDefault="008A42FB">
            <w:r>
              <w:rPr>
                <w:sz w:val="18"/>
              </w:rPr>
              <w:t>35</w:t>
            </w:r>
          </w:p>
        </w:tc>
        <w:tc>
          <w:tcPr>
            <w:tcW w:w="1861" w:type="dxa"/>
          </w:tcPr>
          <w:p w14:paraId="30E50016" w14:textId="77777777" w:rsidR="006A26C0" w:rsidRDefault="008A42FB">
            <w:r>
              <w:rPr>
                <w:sz w:val="18"/>
              </w:rPr>
              <w:t>5</w:t>
            </w:r>
          </w:p>
        </w:tc>
        <w:tc>
          <w:tcPr>
            <w:tcW w:w="1861" w:type="dxa"/>
          </w:tcPr>
          <w:p w14:paraId="5C4126F4" w14:textId="77777777" w:rsidR="006A26C0" w:rsidRDefault="008A42FB">
            <w:r>
              <w:rPr>
                <w:sz w:val="18"/>
              </w:rPr>
              <w:t>2</w:t>
            </w:r>
          </w:p>
        </w:tc>
      </w:tr>
    </w:tbl>
    <w:p w14:paraId="36F4B679" w14:textId="77777777" w:rsidR="006A26C0" w:rsidRDefault="006A26C0"/>
    <w:p w14:paraId="650913CD" w14:textId="77777777" w:rsidR="000D4E74" w:rsidRPr="00B14F4C" w:rsidRDefault="00FE0062">
      <w:pPr>
        <w:pStyle w:val="Titre2"/>
        <w:spacing w:before="260" w:after="130"/>
        <w:rPr>
          <w:color w:val="auto"/>
        </w:rPr>
      </w:pPr>
      <w:bookmarkStart w:id="8" w:name="_Toc238477335"/>
      <w:r w:rsidRPr="00B14F4C">
        <w:rPr>
          <w:rFonts w:ascii="Cambria" w:eastAsia="Cambria" w:hAnsi="Cambria" w:cs="Cambria"/>
          <w:b/>
          <w:bCs/>
          <w:color w:val="auto"/>
          <w:sz w:val="25"/>
          <w:szCs w:val="25"/>
        </w:rPr>
        <w:t>2.5 Robustesse de l'échange</w:t>
      </w:r>
      <w:bookmarkEnd w:id="8"/>
    </w:p>
    <w:p w14:paraId="28498321" w14:textId="77777777" w:rsidR="000D4E74" w:rsidRDefault="00FE0062">
      <w:pPr>
        <w:spacing w:after="160" w:line="280" w:lineRule="auto"/>
        <w:jc w:val="both"/>
      </w:pPr>
      <w:r>
        <w:t>Deux situations doivent être anticipées, indépendamment de la qualité de détection de l'outil testé lui-même :</w:t>
      </w:r>
    </w:p>
    <w:p w14:paraId="273852CB" w14:textId="77777777" w:rsidR="000D4E74" w:rsidRDefault="00FE0062">
      <w:pPr>
        <w:pStyle w:val="Paragraphedeliste"/>
        <w:numPr>
          <w:ilvl w:val="0"/>
          <w:numId w:val="8"/>
        </w:numPr>
        <w:spacing w:after="90" w:line="270" w:lineRule="auto"/>
      </w:pPr>
      <w:r>
        <w:t>L'outil testé ne répond pas dans un délai raisonnable. Le simulateur doit détecter ce silence, l'afficher clairement comme un échec d'échange (pas comme un taux de détection de 0 %, ce qui serait trompeur), et conserver la trace de la tentative.</w:t>
      </w:r>
    </w:p>
    <w:p w14:paraId="36CD0C5D" w14:textId="77777777" w:rsidR="000D4E74" w:rsidRDefault="00FE0062">
      <w:pPr>
        <w:pStyle w:val="Paragraphedeliste"/>
        <w:numPr>
          <w:ilvl w:val="0"/>
          <w:numId w:val="8"/>
        </w:numPr>
        <w:spacing w:after="90" w:line="270" w:lineRule="auto"/>
      </w:pPr>
      <w:r>
        <w:t>Le rapport revient dans un format inattendu ou incomplet. Le simulateur doit signaler l'anomalie d'échange elle-même plutôt que de tenter une comparaison partielle qui produirait une mesure faussée.</w:t>
      </w:r>
    </w:p>
    <w:p w14:paraId="736024B9" w14:textId="77777777" w:rsidR="000D4E74" w:rsidRDefault="00FE0062">
      <w:pPr>
        <w:spacing w:after="160" w:line="280" w:lineRule="auto"/>
        <w:jc w:val="both"/>
      </w:pPr>
      <w:r>
        <w:t>Chaque échange</w:t>
      </w:r>
      <w:r w:rsidR="00CC08DA">
        <w:t xml:space="preserve">, </w:t>
      </w:r>
      <w:r>
        <w:t>envoi et réception</w:t>
      </w:r>
      <w:r w:rsidR="00CC08DA">
        <w:t xml:space="preserve">, </w:t>
      </w:r>
      <w:r>
        <w:t xml:space="preserve">est horodaté et conservé, pour que la campagne de test reste entièrement traçable, </w:t>
      </w:r>
      <w:r w:rsidR="00E41621">
        <w:t xml:space="preserve">pour permettre d’avoir une historisation valide en </w:t>
      </w:r>
      <w:r>
        <w:t>cas de litige sur la performance réelle de l'outil testé.</w:t>
      </w:r>
    </w:p>
    <w:p w14:paraId="4A6DBE59" w14:textId="77777777" w:rsidR="000D4E74" w:rsidRPr="00664DDB" w:rsidRDefault="00FE0062">
      <w:pPr>
        <w:pStyle w:val="Titre1"/>
        <w:pBdr>
          <w:bottom w:val="single" w:sz="8" w:space="6" w:color="C9752B"/>
        </w:pBdr>
        <w:spacing w:before="320" w:after="200"/>
        <w:rPr>
          <w:rFonts w:ascii="Cambria" w:eastAsia="Cambria" w:hAnsi="Cambria" w:cs="Cambria"/>
          <w:b/>
          <w:bCs/>
          <w:color w:val="1E2761"/>
          <w:sz w:val="30"/>
          <w:szCs w:val="30"/>
        </w:rPr>
      </w:pPr>
      <w:bookmarkStart w:id="9" w:name="_Toc238477336"/>
      <w:r w:rsidRPr="00224EAE">
        <w:rPr>
          <w:rFonts w:ascii="Cambria" w:eastAsia="Cambria" w:hAnsi="Cambria" w:cs="Cambria"/>
          <w:b/>
          <w:bCs/>
          <w:color w:val="000000" w:themeColor="text1"/>
          <w:sz w:val="30"/>
          <w:szCs w:val="30"/>
        </w:rPr>
        <w:t xml:space="preserve">Chapitre </w:t>
      </w:r>
      <w:r w:rsidR="005C0A5C" w:rsidRPr="00224EAE">
        <w:rPr>
          <w:rFonts w:ascii="Cambria" w:eastAsia="Cambria" w:hAnsi="Cambria" w:cs="Cambria"/>
          <w:b/>
          <w:bCs/>
          <w:color w:val="000000" w:themeColor="text1"/>
          <w:sz w:val="30"/>
          <w:szCs w:val="30"/>
        </w:rPr>
        <w:t>3</w:t>
      </w:r>
      <w:r w:rsidR="00664DDB" w:rsidRPr="00224EAE">
        <w:rPr>
          <w:rFonts w:ascii="Cambria" w:eastAsia="Cambria" w:hAnsi="Cambria" w:cs="Cambria"/>
          <w:b/>
          <w:bCs/>
          <w:color w:val="000000" w:themeColor="text1"/>
          <w:sz w:val="30"/>
          <w:szCs w:val="30"/>
        </w:rPr>
        <w:t> :</w:t>
      </w:r>
      <w:r w:rsidRPr="00224EAE">
        <w:rPr>
          <w:rFonts w:ascii="Cambria" w:eastAsia="Cambria" w:hAnsi="Cambria" w:cs="Cambria"/>
          <w:b/>
          <w:bCs/>
          <w:color w:val="000000" w:themeColor="text1"/>
          <w:sz w:val="30"/>
          <w:szCs w:val="30"/>
        </w:rPr>
        <w:t xml:space="preserve"> Tests de charge et rejouabilité (Test Bench / Seed)</w:t>
      </w:r>
      <w:bookmarkEnd w:id="9"/>
    </w:p>
    <w:p w14:paraId="6F2C40F5" w14:textId="77777777" w:rsidR="000D4E74" w:rsidRDefault="00FE0062">
      <w:pPr>
        <w:spacing w:after="160" w:line="280" w:lineRule="auto"/>
        <w:jc w:val="both"/>
      </w:pPr>
      <w:r>
        <w:t xml:space="preserve">Les chapitres précédents répondent à la question « l'outil testé détecte-t-il bien les erreurs ? ». Ce chapitre répond à une question différente, tout aussi essentielle : </w:t>
      </w:r>
      <w:r w:rsidRPr="003F1DD4">
        <w:rPr>
          <w:b/>
          <w:bCs/>
        </w:rPr>
        <w:t>« l'outil testé tient-il la charge, et peut-on rejouer exactement le même test pour comparer deux résultats de façon fiable ? »</w:t>
      </w:r>
    </w:p>
    <w:p w14:paraId="0FC4F509" w14:textId="77777777" w:rsidR="000D4E74" w:rsidRPr="00B14F4C" w:rsidRDefault="003F1DD4">
      <w:pPr>
        <w:pStyle w:val="Titre2"/>
        <w:spacing w:before="260" w:after="130"/>
        <w:rPr>
          <w:color w:val="auto"/>
        </w:rPr>
      </w:pPr>
      <w:bookmarkStart w:id="10" w:name="_Toc238477337"/>
      <w:r w:rsidRPr="00B14F4C">
        <w:rPr>
          <w:rFonts w:ascii="Cambria" w:eastAsia="Cambria" w:hAnsi="Cambria" w:cs="Cambria"/>
          <w:b/>
          <w:bCs/>
          <w:color w:val="auto"/>
          <w:sz w:val="25"/>
          <w:szCs w:val="25"/>
        </w:rPr>
        <w:t>3</w:t>
      </w:r>
      <w:r w:rsidR="00FE0062" w:rsidRPr="00B14F4C">
        <w:rPr>
          <w:rFonts w:ascii="Cambria" w:eastAsia="Cambria" w:hAnsi="Cambria" w:cs="Cambria"/>
          <w:b/>
          <w:bCs/>
          <w:color w:val="auto"/>
          <w:sz w:val="25"/>
          <w:szCs w:val="25"/>
        </w:rPr>
        <w:t>.1 Le banc d'essai (Test Bench)</w:t>
      </w:r>
      <w:bookmarkEnd w:id="10"/>
    </w:p>
    <w:p w14:paraId="11F921D4" w14:textId="77777777" w:rsidR="000D4E74" w:rsidRDefault="00FE0062">
      <w:pPr>
        <w:spacing w:after="160" w:line="280" w:lineRule="auto"/>
        <w:jc w:val="both"/>
      </w:pPr>
      <w:r>
        <w:t>Le simulateur ne se limite pas à produire un seul jeu de données de taille fixe. Il fonctionne comme un véritable banc d'essai, capable de générer des volumes variables à la demande</w:t>
      </w:r>
      <w:r w:rsidR="003F1DD4">
        <w:t xml:space="preserve"> ; </w:t>
      </w:r>
      <w:r>
        <w:t>d'un petit échantillon de quelques centaines de lignes jusqu'à plusieurs millions d'enregistrements</w:t>
      </w:r>
      <w:r w:rsidR="003F1DD4">
        <w:t>,</w:t>
      </w:r>
      <w:r>
        <w:t xml:space="preserve"> pour observer comment l'outil testé se comporte à différentes échelles, pas seulement sur un cas de démonstration confortable.</w:t>
      </w:r>
    </w:p>
    <w:tbl>
      <w:tblPr>
        <w:tblStyle w:val="TableauGrille4-Accentuation6"/>
        <w:tblW w:w="9350" w:type="dxa"/>
        <w:tblLook w:val="04A0" w:firstRow="1" w:lastRow="0" w:firstColumn="1" w:lastColumn="0" w:noHBand="0" w:noVBand="1"/>
      </w:tblPr>
      <w:tblGrid>
        <w:gridCol w:w="1600"/>
        <w:gridCol w:w="3300"/>
        <w:gridCol w:w="4450"/>
      </w:tblGrid>
      <w:tr w:rsidR="000D4E74" w14:paraId="70F1D785" w14:textId="77777777" w:rsidTr="00F069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1D938767" w14:textId="77777777" w:rsidR="000D4E74" w:rsidRDefault="00FE0062">
            <w:r>
              <w:rPr>
                <w:color w:val="FFFFFF"/>
                <w:sz w:val="19"/>
                <w:szCs w:val="19"/>
              </w:rPr>
              <w:t>Palier de charge</w:t>
            </w:r>
          </w:p>
        </w:tc>
        <w:tc>
          <w:tcPr>
            <w:tcW w:w="3300" w:type="dxa"/>
          </w:tcPr>
          <w:p w14:paraId="3FBE3589" w14:textId="77777777" w:rsidR="000D4E74" w:rsidRDefault="00FE0062">
            <w:pPr>
              <w:cnfStyle w:val="100000000000" w:firstRow="1" w:lastRow="0" w:firstColumn="0" w:lastColumn="0" w:oddVBand="0" w:evenVBand="0" w:oddHBand="0" w:evenHBand="0" w:firstRowFirstColumn="0" w:firstRowLastColumn="0" w:lastRowFirstColumn="0" w:lastRowLastColumn="0"/>
            </w:pPr>
            <w:r>
              <w:rPr>
                <w:color w:val="FFFFFF"/>
                <w:sz w:val="19"/>
                <w:szCs w:val="19"/>
              </w:rPr>
              <w:t>Volume généré</w:t>
            </w:r>
          </w:p>
        </w:tc>
        <w:tc>
          <w:tcPr>
            <w:tcW w:w="4450" w:type="dxa"/>
          </w:tcPr>
          <w:p w14:paraId="7F18AEAB" w14:textId="77777777" w:rsidR="000D4E74" w:rsidRDefault="00FE0062">
            <w:pPr>
              <w:cnfStyle w:val="100000000000" w:firstRow="1" w:lastRow="0" w:firstColumn="0" w:lastColumn="0" w:oddVBand="0" w:evenVBand="0" w:oddHBand="0" w:evenHBand="0" w:firstRowFirstColumn="0" w:firstRowLastColumn="0" w:lastRowFirstColumn="0" w:lastRowLastColumn="0"/>
            </w:pPr>
            <w:r>
              <w:rPr>
                <w:color w:val="FFFFFF"/>
                <w:sz w:val="19"/>
                <w:szCs w:val="19"/>
              </w:rPr>
              <w:t>Ce qu'il permet de vérifier</w:t>
            </w:r>
          </w:p>
        </w:tc>
      </w:tr>
      <w:tr w:rsidR="000D4E74" w14:paraId="3A7FDD9B" w14:textId="77777777" w:rsidTr="00F06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08E5FDD5" w14:textId="77777777" w:rsidR="000D4E74" w:rsidRDefault="00FE0062">
            <w:pPr>
              <w:spacing w:after="40"/>
            </w:pPr>
            <w:r>
              <w:rPr>
                <w:b w:val="0"/>
                <w:bCs w:val="0"/>
                <w:sz w:val="19"/>
                <w:szCs w:val="19"/>
              </w:rPr>
              <w:t>Échantillon</w:t>
            </w:r>
          </w:p>
        </w:tc>
        <w:tc>
          <w:tcPr>
            <w:tcW w:w="3300" w:type="dxa"/>
          </w:tcPr>
          <w:p w14:paraId="7A47993C" w14:textId="77777777" w:rsidR="000D4E74" w:rsidRDefault="00FE0062">
            <w:pPr>
              <w:spacing w:after="40"/>
              <w:cnfStyle w:val="000000100000" w:firstRow="0" w:lastRow="0" w:firstColumn="0" w:lastColumn="0" w:oddVBand="0" w:evenVBand="0" w:oddHBand="1" w:evenHBand="0" w:firstRowFirstColumn="0" w:firstRowLastColumn="0" w:lastRowFirstColumn="0" w:lastRowLastColumn="0"/>
            </w:pPr>
            <w:r>
              <w:rPr>
                <w:sz w:val="19"/>
                <w:szCs w:val="19"/>
              </w:rPr>
              <w:t>Quelques centaines de lignes</w:t>
            </w:r>
          </w:p>
        </w:tc>
        <w:tc>
          <w:tcPr>
            <w:tcW w:w="4450" w:type="dxa"/>
          </w:tcPr>
          <w:p w14:paraId="27CE903B" w14:textId="77777777" w:rsidR="000D4E74" w:rsidRDefault="00FE0062">
            <w:pPr>
              <w:spacing w:after="40"/>
              <w:cnfStyle w:val="000000100000" w:firstRow="0" w:lastRow="0" w:firstColumn="0" w:lastColumn="0" w:oddVBand="0" w:evenVBand="0" w:oddHBand="1" w:evenHBand="0" w:firstRowFirstColumn="0" w:firstRowLastColumn="0" w:lastRowFirstColumn="0" w:lastRowLastColumn="0"/>
            </w:pPr>
            <w:r>
              <w:rPr>
                <w:sz w:val="19"/>
                <w:szCs w:val="19"/>
              </w:rPr>
              <w:t>Vérification rapide après une modification, sans attendre un cycle complet.</w:t>
            </w:r>
          </w:p>
        </w:tc>
      </w:tr>
      <w:tr w:rsidR="000D4E74" w14:paraId="6C080F34" w14:textId="77777777" w:rsidTr="00F0690C">
        <w:tc>
          <w:tcPr>
            <w:cnfStyle w:val="001000000000" w:firstRow="0" w:lastRow="0" w:firstColumn="1" w:lastColumn="0" w:oddVBand="0" w:evenVBand="0" w:oddHBand="0" w:evenHBand="0" w:firstRowFirstColumn="0" w:firstRowLastColumn="0" w:lastRowFirstColumn="0" w:lastRowLastColumn="0"/>
            <w:tcW w:w="1600" w:type="dxa"/>
          </w:tcPr>
          <w:p w14:paraId="566569A9" w14:textId="77777777" w:rsidR="000D4E74" w:rsidRDefault="00FE0062">
            <w:pPr>
              <w:spacing w:after="40"/>
            </w:pPr>
            <w:r>
              <w:rPr>
                <w:b w:val="0"/>
                <w:bCs w:val="0"/>
                <w:sz w:val="19"/>
                <w:szCs w:val="19"/>
              </w:rPr>
              <w:t>Volume courant</w:t>
            </w:r>
          </w:p>
        </w:tc>
        <w:tc>
          <w:tcPr>
            <w:tcW w:w="3300" w:type="dxa"/>
          </w:tcPr>
          <w:p w14:paraId="0B9356E2" w14:textId="77777777" w:rsidR="000D4E74" w:rsidRDefault="00FE0062">
            <w:pPr>
              <w:spacing w:after="40"/>
              <w:cnfStyle w:val="000000000000" w:firstRow="0" w:lastRow="0" w:firstColumn="0" w:lastColumn="0" w:oddVBand="0" w:evenVBand="0" w:oddHBand="0" w:evenHBand="0" w:firstRowFirstColumn="0" w:firstRowLastColumn="0" w:lastRowFirstColumn="0" w:lastRowLastColumn="0"/>
            </w:pPr>
            <w:r>
              <w:rPr>
                <w:sz w:val="19"/>
                <w:szCs w:val="19"/>
              </w:rPr>
              <w:t>Volume représentatif de l'activité réelle (ex. 100 000 bénéficiaires)</w:t>
            </w:r>
          </w:p>
        </w:tc>
        <w:tc>
          <w:tcPr>
            <w:tcW w:w="4450" w:type="dxa"/>
          </w:tcPr>
          <w:p w14:paraId="2E78D174" w14:textId="77777777" w:rsidR="000D4E74" w:rsidRDefault="00FE0062">
            <w:pPr>
              <w:spacing w:after="40"/>
              <w:cnfStyle w:val="000000000000" w:firstRow="0" w:lastRow="0" w:firstColumn="0" w:lastColumn="0" w:oddVBand="0" w:evenVBand="0" w:oddHBand="0" w:evenHBand="0" w:firstRowFirstColumn="0" w:firstRowLastColumn="0" w:lastRowFirstColumn="0" w:lastRowLastColumn="0"/>
            </w:pPr>
            <w:r>
              <w:rPr>
                <w:sz w:val="19"/>
                <w:szCs w:val="19"/>
              </w:rPr>
              <w:t>Performance dans les conditions d'usage normales.</w:t>
            </w:r>
          </w:p>
        </w:tc>
      </w:tr>
      <w:tr w:rsidR="000D4E74" w14:paraId="34C62D9D" w14:textId="77777777" w:rsidTr="00F06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0C3C2359" w14:textId="77777777" w:rsidR="000D4E74" w:rsidRDefault="00FE0062">
            <w:pPr>
              <w:spacing w:after="40"/>
            </w:pPr>
            <w:r>
              <w:rPr>
                <w:b w:val="0"/>
                <w:bCs w:val="0"/>
                <w:sz w:val="19"/>
                <w:szCs w:val="19"/>
              </w:rPr>
              <w:lastRenderedPageBreak/>
              <w:t>Volume élevé</w:t>
            </w:r>
          </w:p>
        </w:tc>
        <w:tc>
          <w:tcPr>
            <w:tcW w:w="3300" w:type="dxa"/>
          </w:tcPr>
          <w:p w14:paraId="7A24BEB5" w14:textId="77777777" w:rsidR="000D4E74" w:rsidRDefault="00FE0062">
            <w:pPr>
              <w:spacing w:after="40"/>
              <w:cnfStyle w:val="000000100000" w:firstRow="0" w:lastRow="0" w:firstColumn="0" w:lastColumn="0" w:oddVBand="0" w:evenVBand="0" w:oddHBand="1" w:evenHBand="0" w:firstRowFirstColumn="0" w:firstRowLastColumn="0" w:lastRowFirstColumn="0" w:lastRowLastColumn="0"/>
            </w:pPr>
            <w:r>
              <w:rPr>
                <w:sz w:val="19"/>
                <w:szCs w:val="19"/>
              </w:rPr>
              <w:t>Plusieurs centaines de milliers à un million d'enregistrements</w:t>
            </w:r>
          </w:p>
        </w:tc>
        <w:tc>
          <w:tcPr>
            <w:tcW w:w="4450" w:type="dxa"/>
          </w:tcPr>
          <w:p w14:paraId="6EB51A7D" w14:textId="77777777" w:rsidR="000D4E74" w:rsidRDefault="00FE0062">
            <w:pPr>
              <w:spacing w:after="40"/>
              <w:cnfStyle w:val="000000100000" w:firstRow="0" w:lastRow="0" w:firstColumn="0" w:lastColumn="0" w:oddVBand="0" w:evenVBand="0" w:oddHBand="1" w:evenHBand="0" w:firstRowFirstColumn="0" w:firstRowLastColumn="0" w:lastRowFirstColumn="0" w:lastRowLastColumn="0"/>
            </w:pPr>
            <w:r>
              <w:rPr>
                <w:sz w:val="19"/>
                <w:szCs w:val="19"/>
              </w:rPr>
              <w:t>Tenue en charge à l'échelle de la base CMU complète, pas d'un échantillon.</w:t>
            </w:r>
          </w:p>
        </w:tc>
      </w:tr>
      <w:tr w:rsidR="000D4E74" w14:paraId="2FE60714" w14:textId="77777777" w:rsidTr="00F0690C">
        <w:tc>
          <w:tcPr>
            <w:cnfStyle w:val="001000000000" w:firstRow="0" w:lastRow="0" w:firstColumn="1" w:lastColumn="0" w:oddVBand="0" w:evenVBand="0" w:oddHBand="0" w:evenHBand="0" w:firstRowFirstColumn="0" w:firstRowLastColumn="0" w:lastRowFirstColumn="0" w:lastRowLastColumn="0"/>
            <w:tcW w:w="1600" w:type="dxa"/>
          </w:tcPr>
          <w:p w14:paraId="31D0B1C8" w14:textId="77777777" w:rsidR="000D4E74" w:rsidRDefault="00FE0062">
            <w:pPr>
              <w:spacing w:after="40"/>
            </w:pPr>
            <w:r>
              <w:rPr>
                <w:b w:val="0"/>
                <w:bCs w:val="0"/>
                <w:sz w:val="19"/>
                <w:szCs w:val="19"/>
              </w:rPr>
              <w:t>Afflux soudain</w:t>
            </w:r>
          </w:p>
        </w:tc>
        <w:tc>
          <w:tcPr>
            <w:tcW w:w="3300" w:type="dxa"/>
          </w:tcPr>
          <w:p w14:paraId="2E412604" w14:textId="77777777" w:rsidR="000D4E74" w:rsidRDefault="00FE0062">
            <w:pPr>
              <w:spacing w:after="40"/>
              <w:cnfStyle w:val="000000000000" w:firstRow="0" w:lastRow="0" w:firstColumn="0" w:lastColumn="0" w:oddVBand="0" w:evenVBand="0" w:oddHBand="0" w:evenHBand="0" w:firstRowFirstColumn="0" w:firstRowLastColumn="0" w:lastRowFirstColumn="0" w:lastRowLastColumn="0"/>
            </w:pPr>
            <w:r>
              <w:rPr>
                <w:sz w:val="19"/>
                <w:szCs w:val="19"/>
              </w:rPr>
              <w:t>Un très gros volume généré et transmis d'un seul bloc</w:t>
            </w:r>
          </w:p>
        </w:tc>
        <w:tc>
          <w:tcPr>
            <w:tcW w:w="4450" w:type="dxa"/>
          </w:tcPr>
          <w:p w14:paraId="145C318F" w14:textId="77777777" w:rsidR="000D4E74" w:rsidRDefault="00FE0062">
            <w:pPr>
              <w:spacing w:after="40"/>
              <w:cnfStyle w:val="000000000000" w:firstRow="0" w:lastRow="0" w:firstColumn="0" w:lastColumn="0" w:oddVBand="0" w:evenVBand="0" w:oddHBand="0" w:evenHBand="0" w:firstRowFirstColumn="0" w:firstRowLastColumn="0" w:lastRowFirstColumn="0" w:lastRowLastColumn="0"/>
            </w:pPr>
            <w:r>
              <w:rPr>
                <w:sz w:val="19"/>
                <w:szCs w:val="19"/>
              </w:rPr>
              <w:t>Comportement de l'outil testé face à un pic brutal, comme une campagne d'enrôlement massive.</w:t>
            </w:r>
          </w:p>
        </w:tc>
      </w:tr>
    </w:tbl>
    <w:p w14:paraId="26AA52B9" w14:textId="77777777" w:rsidR="000D4E74" w:rsidRDefault="00FE0062">
      <w:pPr>
        <w:spacing w:after="160" w:line="280" w:lineRule="auto"/>
        <w:jc w:val="both"/>
      </w:pPr>
      <w:r>
        <w:t>À chaque palier, le simulateur mesure et conserve : le temps pris par l'outil testé pour rendre son rapport, et si la qualité de détection observée au chapitre 1 se maintient ou se dégrade quand le volume augmente. Un outil qui détecte 96 % des anomalies sur 1 000 lignes mais seulement 80 % sur 500 000 lignes n'est pas fiable à l'échelle réelle, même s'il a réussi le test initial.</w:t>
      </w:r>
    </w:p>
    <w:p w14:paraId="6F344F7B" w14:textId="77777777" w:rsidR="006A26C0" w:rsidRDefault="008A42FB">
      <w:r>
        <w:rPr>
          <w:b/>
        </w:rPr>
        <w:t>Écran : Lancer un test de charge (à titre indicatif)</w:t>
      </w:r>
    </w:p>
    <w:p w14:paraId="44DA1E70" w14:textId="77777777" w:rsidR="006A26C0" w:rsidRDefault="008A42FB">
      <w:r>
        <w:rPr>
          <w:i/>
          <w:sz w:val="20"/>
        </w:rPr>
        <w:t>Le banc d'essai se lance en choisissant un palier et, si besoin, une graine précise pour rejouer un test à l'identique.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48"/>
        <w:gridCol w:w="4648"/>
      </w:tblGrid>
      <w:tr w:rsidR="006A26C0" w14:paraId="56D69801" w14:textId="77777777">
        <w:tc>
          <w:tcPr>
            <w:tcW w:w="9306" w:type="dxa"/>
            <w:gridSpan w:val="2"/>
            <w:shd w:val="clear" w:color="auto" w:fill="1E2761"/>
          </w:tcPr>
          <w:p w14:paraId="7ECE9928" w14:textId="77777777" w:rsidR="006A26C0" w:rsidRDefault="008A42FB">
            <w:r>
              <w:rPr>
                <w:b/>
                <w:color w:val="FFFFFF"/>
                <w:sz w:val="18"/>
              </w:rPr>
              <w:t>LANCER UN TEST DE CHARGE</w:t>
            </w:r>
          </w:p>
        </w:tc>
      </w:tr>
      <w:tr w:rsidR="006A26C0" w14:paraId="7BBAD9D4" w14:textId="77777777">
        <w:tc>
          <w:tcPr>
            <w:tcW w:w="4653" w:type="dxa"/>
          </w:tcPr>
          <w:p w14:paraId="01923D9A" w14:textId="77777777" w:rsidR="006A26C0" w:rsidRDefault="008A42FB">
            <w:r>
              <w:rPr>
                <w:b/>
                <w:sz w:val="18"/>
              </w:rPr>
              <w:t>Palier à tester</w:t>
            </w:r>
          </w:p>
        </w:tc>
        <w:tc>
          <w:tcPr>
            <w:tcW w:w="4653" w:type="dxa"/>
          </w:tcPr>
          <w:p w14:paraId="6251EB40" w14:textId="77777777" w:rsidR="006A26C0" w:rsidRDefault="008A42FB">
            <w:r>
              <w:rPr>
                <w:sz w:val="18"/>
              </w:rPr>
              <w:t>☐</w:t>
            </w:r>
            <w:r>
              <w:rPr>
                <w:sz w:val="18"/>
              </w:rPr>
              <w:t xml:space="preserve"> Échantillon   ☑ Volume courant   ☐ Volume élevé   ☐ Afflux soudain</w:t>
            </w:r>
          </w:p>
        </w:tc>
      </w:tr>
      <w:tr w:rsidR="006A26C0" w14:paraId="5F33278D" w14:textId="77777777">
        <w:tc>
          <w:tcPr>
            <w:tcW w:w="4653" w:type="dxa"/>
          </w:tcPr>
          <w:p w14:paraId="4A438EAE" w14:textId="77777777" w:rsidR="006A26C0" w:rsidRDefault="008A42FB">
            <w:r>
              <w:rPr>
                <w:b/>
                <w:sz w:val="18"/>
              </w:rPr>
              <w:t>Graine (seed)</w:t>
            </w:r>
          </w:p>
        </w:tc>
        <w:tc>
          <w:tcPr>
            <w:tcW w:w="4653" w:type="dxa"/>
          </w:tcPr>
          <w:p w14:paraId="1CC57C02" w14:textId="77777777" w:rsidR="006A26C0" w:rsidRDefault="008A42FB">
            <w:r>
              <w:rPr>
                <w:sz w:val="18"/>
              </w:rPr>
              <w:t>☑</w:t>
            </w:r>
            <w:r>
              <w:rPr>
                <w:sz w:val="18"/>
              </w:rPr>
              <w:t xml:space="preserve"> Aléatoire   ☐ Spécifique : _______</w:t>
            </w:r>
          </w:p>
        </w:tc>
      </w:tr>
    </w:tbl>
    <w:p w14:paraId="4881295C" w14:textId="77777777" w:rsidR="006A26C0" w:rsidRDefault="008A42FB">
      <w:pPr>
        <w:jc w:val="center"/>
      </w:pPr>
      <w:r>
        <w:rPr>
          <w:b/>
          <w:sz w:val="20"/>
        </w:rPr>
        <w:t>Lancer le banc d'essai</w:t>
      </w:r>
    </w:p>
    <w:p w14:paraId="1E1C7FCC" w14:textId="77777777" w:rsidR="006A26C0" w:rsidRDefault="006A26C0"/>
    <w:p w14:paraId="465F72A0" w14:textId="77777777" w:rsidR="000D4E74" w:rsidRPr="00B14F4C" w:rsidRDefault="003F1DD4">
      <w:pPr>
        <w:pStyle w:val="Titre2"/>
        <w:spacing w:before="260" w:after="130"/>
        <w:rPr>
          <w:color w:val="auto"/>
        </w:rPr>
      </w:pPr>
      <w:bookmarkStart w:id="11" w:name="_Toc238477338"/>
      <w:r w:rsidRPr="00B14F4C">
        <w:rPr>
          <w:rFonts w:ascii="Cambria" w:eastAsia="Cambria" w:hAnsi="Cambria" w:cs="Cambria"/>
          <w:b/>
          <w:bCs/>
          <w:color w:val="auto"/>
          <w:sz w:val="25"/>
          <w:szCs w:val="25"/>
        </w:rPr>
        <w:t>3</w:t>
      </w:r>
      <w:r w:rsidR="00FE0062" w:rsidRPr="00B14F4C">
        <w:rPr>
          <w:rFonts w:ascii="Cambria" w:eastAsia="Cambria" w:hAnsi="Cambria" w:cs="Cambria"/>
          <w:b/>
          <w:bCs/>
          <w:color w:val="auto"/>
          <w:sz w:val="25"/>
          <w:szCs w:val="25"/>
        </w:rPr>
        <w:t>.2 La graine de génération (Seed)</w:t>
      </w:r>
      <w:bookmarkEnd w:id="11"/>
    </w:p>
    <w:p w14:paraId="56BD42D5" w14:textId="77777777" w:rsidR="000D4E74" w:rsidRDefault="00FE0062">
      <w:pPr>
        <w:spacing w:after="160" w:line="280" w:lineRule="auto"/>
        <w:jc w:val="both"/>
      </w:pPr>
      <w:r>
        <w:t>Chaque campagne de génération peut être lancée avec une valeur de départ appelée graine</w:t>
      </w:r>
      <w:r w:rsidR="003F1DD4">
        <w:t xml:space="preserve"> ou jeton</w:t>
      </w:r>
      <w:r>
        <w:t xml:space="preserve"> (</w:t>
      </w:r>
      <w:proofErr w:type="spellStart"/>
      <w:r>
        <w:t>seed</w:t>
      </w:r>
      <w:proofErr w:type="spellEnd"/>
      <w:r>
        <w:t>). Cette graine détermine entièrement le jeu de données produit : mêmes enregistrements, mêmes anomalies, aux mêmes emplacements exacts. Réutiliser la même graine reproduit un jeu de données strictement identique, à l'octet près.</w:t>
      </w:r>
    </w:p>
    <w:p w14:paraId="35B9D5FF" w14:textId="77777777" w:rsidR="000D4E74" w:rsidRDefault="00FE0062">
      <w:pPr>
        <w:spacing w:after="160" w:line="280" w:lineRule="auto"/>
        <w:jc w:val="both"/>
      </w:pPr>
      <w:r>
        <w:t>Sans cette graine, chaque campagne générerait un jeu de données différent, rendant impossible toute comparaison rigoureuse entre deux résultats.</w:t>
      </w:r>
    </w:p>
    <w:p w14:paraId="355371B4" w14:textId="77777777" w:rsidR="000D4E74" w:rsidRPr="00B14F4C" w:rsidRDefault="003F1DD4">
      <w:pPr>
        <w:pStyle w:val="Titre2"/>
        <w:spacing w:before="260" w:after="130"/>
        <w:rPr>
          <w:color w:val="auto"/>
        </w:rPr>
      </w:pPr>
      <w:bookmarkStart w:id="12" w:name="_Toc238477339"/>
      <w:r w:rsidRPr="00B14F4C">
        <w:rPr>
          <w:rFonts w:ascii="Cambria" w:eastAsia="Cambria" w:hAnsi="Cambria" w:cs="Cambria"/>
          <w:b/>
          <w:bCs/>
          <w:color w:val="auto"/>
          <w:sz w:val="25"/>
          <w:szCs w:val="25"/>
        </w:rPr>
        <w:t>3</w:t>
      </w:r>
      <w:r w:rsidR="00FE0062" w:rsidRPr="00B14F4C">
        <w:rPr>
          <w:rFonts w:ascii="Cambria" w:eastAsia="Cambria" w:hAnsi="Cambria" w:cs="Cambria"/>
          <w:b/>
          <w:bCs/>
          <w:color w:val="auto"/>
          <w:sz w:val="25"/>
          <w:szCs w:val="25"/>
        </w:rPr>
        <w:t>.3 Pourquoi la rejouabilité est indispensable</w:t>
      </w:r>
      <w:bookmarkEnd w:id="12"/>
    </w:p>
    <w:tbl>
      <w:tblPr>
        <w:tblW w:w="9350" w:type="dxa"/>
        <w:tblBorders>
          <w:top w:val="single" w:sz="4" w:space="0" w:color="BFBFBF"/>
          <w:left w:val="single" w:sz="4" w:space="0" w:color="BFBFBF"/>
          <w:bottom w:val="single" w:sz="4" w:space="0" w:color="BFBFBF"/>
          <w:right w:val="single" w:sz="4" w:space="0" w:color="BFBFBF"/>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2900"/>
        <w:gridCol w:w="6450"/>
      </w:tblGrid>
      <w:tr w:rsidR="000D4E74" w14:paraId="5AE8B397" w14:textId="77777777">
        <w:trPr>
          <w:cantSplit/>
          <w:tblHeader/>
        </w:trPr>
        <w:tc>
          <w:tcPr>
            <w:tcW w:w="2900" w:type="dxa"/>
            <w:shd w:val="clear" w:color="auto" w:fill="1E2761"/>
            <w:tcMar>
              <w:top w:w="90" w:type="dxa"/>
              <w:left w:w="120" w:type="dxa"/>
              <w:bottom w:w="90" w:type="dxa"/>
              <w:right w:w="120" w:type="dxa"/>
            </w:tcMar>
            <w:vAlign w:val="center"/>
          </w:tcPr>
          <w:p w14:paraId="5D3DC69A" w14:textId="77777777" w:rsidR="000D4E74" w:rsidRDefault="00FE0062">
            <w:r>
              <w:rPr>
                <w:b/>
                <w:bCs/>
                <w:color w:val="FFFFFF"/>
                <w:sz w:val="19"/>
                <w:szCs w:val="19"/>
              </w:rPr>
              <w:t>Situation</w:t>
            </w:r>
          </w:p>
        </w:tc>
        <w:tc>
          <w:tcPr>
            <w:tcW w:w="6450" w:type="dxa"/>
            <w:shd w:val="clear" w:color="auto" w:fill="1E2761"/>
            <w:tcMar>
              <w:top w:w="90" w:type="dxa"/>
              <w:left w:w="120" w:type="dxa"/>
              <w:bottom w:w="90" w:type="dxa"/>
              <w:right w:w="120" w:type="dxa"/>
            </w:tcMar>
            <w:vAlign w:val="center"/>
          </w:tcPr>
          <w:p w14:paraId="25F8F556" w14:textId="77777777" w:rsidR="000D4E74" w:rsidRDefault="00FE0062">
            <w:r>
              <w:rPr>
                <w:b/>
                <w:bCs/>
                <w:color w:val="FFFFFF"/>
                <w:sz w:val="19"/>
                <w:szCs w:val="19"/>
              </w:rPr>
              <w:t>Ce que permet la graine</w:t>
            </w:r>
          </w:p>
        </w:tc>
      </w:tr>
      <w:tr w:rsidR="000D4E74" w14:paraId="4ACC7D9F" w14:textId="77777777">
        <w:trPr>
          <w:cantSplit/>
        </w:trPr>
        <w:tc>
          <w:tcPr>
            <w:tcW w:w="2900" w:type="dxa"/>
            <w:tcMar>
              <w:top w:w="90" w:type="dxa"/>
              <w:left w:w="120" w:type="dxa"/>
              <w:bottom w:w="90" w:type="dxa"/>
              <w:right w:w="120" w:type="dxa"/>
            </w:tcMar>
            <w:vAlign w:val="center"/>
          </w:tcPr>
          <w:p w14:paraId="2C3E8F68" w14:textId="77777777" w:rsidR="000D4E74" w:rsidRDefault="00FE0062">
            <w:pPr>
              <w:spacing w:after="40"/>
            </w:pPr>
            <w:r>
              <w:rPr>
                <w:sz w:val="19"/>
                <w:szCs w:val="19"/>
              </w:rPr>
              <w:t>Comparer deux versions d'un même outil</w:t>
            </w:r>
          </w:p>
        </w:tc>
        <w:tc>
          <w:tcPr>
            <w:tcW w:w="6450" w:type="dxa"/>
            <w:tcMar>
              <w:top w:w="90" w:type="dxa"/>
              <w:left w:w="120" w:type="dxa"/>
              <w:bottom w:w="90" w:type="dxa"/>
              <w:right w:w="120" w:type="dxa"/>
            </w:tcMar>
            <w:vAlign w:val="center"/>
          </w:tcPr>
          <w:p w14:paraId="771063AB" w14:textId="77777777" w:rsidR="000D4E74" w:rsidRDefault="00FE0062">
            <w:pPr>
              <w:spacing w:after="40"/>
            </w:pPr>
            <w:r>
              <w:rPr>
                <w:sz w:val="19"/>
                <w:szCs w:val="19"/>
              </w:rPr>
              <w:t>Rejouer exactement le même jeu de données piégé sur l'ancienne et la nouvelle version, pour savoir si un correctif a vraiment amélioré la détection — ou l'a dégradée sur un autre point.</w:t>
            </w:r>
          </w:p>
        </w:tc>
      </w:tr>
      <w:tr w:rsidR="000D4E74" w14:paraId="548E92AC" w14:textId="77777777">
        <w:trPr>
          <w:cantSplit/>
        </w:trPr>
        <w:tc>
          <w:tcPr>
            <w:tcW w:w="2900" w:type="dxa"/>
            <w:shd w:val="clear" w:color="auto" w:fill="F2F2F2"/>
            <w:tcMar>
              <w:top w:w="90" w:type="dxa"/>
              <w:left w:w="120" w:type="dxa"/>
              <w:bottom w:w="90" w:type="dxa"/>
              <w:right w:w="120" w:type="dxa"/>
            </w:tcMar>
            <w:vAlign w:val="center"/>
          </w:tcPr>
          <w:p w14:paraId="21FC292F" w14:textId="77777777" w:rsidR="000D4E74" w:rsidRDefault="00FE0062">
            <w:pPr>
              <w:spacing w:after="40"/>
            </w:pPr>
            <w:r>
              <w:rPr>
                <w:sz w:val="19"/>
                <w:szCs w:val="19"/>
              </w:rPr>
              <w:t>Reproduire un problème signalé</w:t>
            </w:r>
          </w:p>
        </w:tc>
        <w:tc>
          <w:tcPr>
            <w:tcW w:w="6450" w:type="dxa"/>
            <w:shd w:val="clear" w:color="auto" w:fill="F2F2F2"/>
            <w:tcMar>
              <w:top w:w="90" w:type="dxa"/>
              <w:left w:w="120" w:type="dxa"/>
              <w:bottom w:w="90" w:type="dxa"/>
              <w:right w:w="120" w:type="dxa"/>
            </w:tcMar>
            <w:vAlign w:val="center"/>
          </w:tcPr>
          <w:p w14:paraId="61C4C38B" w14:textId="77777777" w:rsidR="000D4E74" w:rsidRDefault="00FE0062">
            <w:pPr>
              <w:spacing w:after="40"/>
            </w:pPr>
            <w:r>
              <w:rPr>
                <w:sz w:val="19"/>
                <w:szCs w:val="19"/>
              </w:rPr>
              <w:t>Si un cas précis a mis l'outil testé en défaut, rejouer la même graine permet de retrouver exactement ce cas pour l'analyser, sans devoir espérer qu'il réapparaisse par hasard.</w:t>
            </w:r>
          </w:p>
        </w:tc>
      </w:tr>
      <w:tr w:rsidR="000D4E74" w14:paraId="0E12CA73" w14:textId="77777777">
        <w:trPr>
          <w:cantSplit/>
        </w:trPr>
        <w:tc>
          <w:tcPr>
            <w:tcW w:w="2900" w:type="dxa"/>
            <w:tcMar>
              <w:top w:w="90" w:type="dxa"/>
              <w:left w:w="120" w:type="dxa"/>
              <w:bottom w:w="90" w:type="dxa"/>
              <w:right w:w="120" w:type="dxa"/>
            </w:tcMar>
            <w:vAlign w:val="center"/>
          </w:tcPr>
          <w:p w14:paraId="7C9DAEE4" w14:textId="77777777" w:rsidR="000D4E74" w:rsidRDefault="00FE0062">
            <w:pPr>
              <w:spacing w:after="40"/>
            </w:pPr>
            <w:r>
              <w:rPr>
                <w:sz w:val="19"/>
                <w:szCs w:val="19"/>
              </w:rPr>
              <w:t>Auditer une campagne passée</w:t>
            </w:r>
          </w:p>
        </w:tc>
        <w:tc>
          <w:tcPr>
            <w:tcW w:w="6450" w:type="dxa"/>
            <w:tcMar>
              <w:top w:w="90" w:type="dxa"/>
              <w:left w:w="120" w:type="dxa"/>
              <w:bottom w:w="90" w:type="dxa"/>
              <w:right w:w="120" w:type="dxa"/>
            </w:tcMar>
            <w:vAlign w:val="center"/>
          </w:tcPr>
          <w:p w14:paraId="484B5BEF" w14:textId="77777777" w:rsidR="000D4E74" w:rsidRDefault="00FE0062">
            <w:pPr>
              <w:spacing w:after="40"/>
            </w:pPr>
            <w:r>
              <w:rPr>
                <w:sz w:val="19"/>
                <w:szCs w:val="19"/>
              </w:rPr>
              <w:t>Regénérer à l'identique le jeu de données d'une campagne déjà réalisée, pour vérifier ou contester un résultat obtenu plusieurs semaines auparavant.</w:t>
            </w:r>
          </w:p>
        </w:tc>
      </w:tr>
      <w:tr w:rsidR="000D4E74" w14:paraId="1F7BD958" w14:textId="77777777">
        <w:trPr>
          <w:cantSplit/>
        </w:trPr>
        <w:tc>
          <w:tcPr>
            <w:tcW w:w="2900" w:type="dxa"/>
            <w:shd w:val="clear" w:color="auto" w:fill="F2F2F2"/>
            <w:tcMar>
              <w:top w:w="90" w:type="dxa"/>
              <w:left w:w="120" w:type="dxa"/>
              <w:bottom w:w="90" w:type="dxa"/>
              <w:right w:w="120" w:type="dxa"/>
            </w:tcMar>
            <w:vAlign w:val="center"/>
          </w:tcPr>
          <w:p w14:paraId="01ED6377" w14:textId="77777777" w:rsidR="000D4E74" w:rsidRDefault="00FE0062">
            <w:pPr>
              <w:spacing w:after="40"/>
            </w:pPr>
            <w:r>
              <w:rPr>
                <w:sz w:val="19"/>
                <w:szCs w:val="19"/>
              </w:rPr>
              <w:t>Test de non-régression</w:t>
            </w:r>
          </w:p>
        </w:tc>
        <w:tc>
          <w:tcPr>
            <w:tcW w:w="6450" w:type="dxa"/>
            <w:shd w:val="clear" w:color="auto" w:fill="F2F2F2"/>
            <w:tcMar>
              <w:top w:w="90" w:type="dxa"/>
              <w:left w:w="120" w:type="dxa"/>
              <w:bottom w:w="90" w:type="dxa"/>
              <w:right w:w="120" w:type="dxa"/>
            </w:tcMar>
            <w:vAlign w:val="center"/>
          </w:tcPr>
          <w:p w14:paraId="0B0D7CDD" w14:textId="77777777" w:rsidR="000D4E74" w:rsidRDefault="00FE0062">
            <w:pPr>
              <w:spacing w:after="40"/>
            </w:pPr>
            <w:r>
              <w:rPr>
                <w:sz w:val="19"/>
                <w:szCs w:val="19"/>
              </w:rPr>
              <w:t>Vérifier qu'une nouvelle version de l'outil testé continue de réussir tous les cas qu'une version précédente réussissait déjà, sans repasser par une nouvelle campagne aléatoire à chaque fois.</w:t>
            </w:r>
          </w:p>
        </w:tc>
      </w:tr>
    </w:tbl>
    <w:p w14:paraId="6D4DD222" w14:textId="77777777" w:rsidR="000D4E74" w:rsidRPr="00B14F4C" w:rsidRDefault="003F1DD4">
      <w:pPr>
        <w:pStyle w:val="Titre2"/>
        <w:spacing w:before="260" w:after="130"/>
        <w:rPr>
          <w:color w:val="auto"/>
        </w:rPr>
      </w:pPr>
      <w:bookmarkStart w:id="13" w:name="_Toc238477340"/>
      <w:r w:rsidRPr="00B14F4C">
        <w:rPr>
          <w:rFonts w:ascii="Cambria" w:eastAsia="Cambria" w:hAnsi="Cambria" w:cs="Cambria"/>
          <w:b/>
          <w:bCs/>
          <w:color w:val="auto"/>
          <w:sz w:val="25"/>
          <w:szCs w:val="25"/>
        </w:rPr>
        <w:t>3</w:t>
      </w:r>
      <w:r w:rsidR="00FE0062" w:rsidRPr="00B14F4C">
        <w:rPr>
          <w:rFonts w:ascii="Cambria" w:eastAsia="Cambria" w:hAnsi="Cambria" w:cs="Cambria"/>
          <w:b/>
          <w:bCs/>
          <w:color w:val="auto"/>
          <w:sz w:val="25"/>
          <w:szCs w:val="25"/>
        </w:rPr>
        <w:t>.4 Robustesse du banc d'essai lui-même</w:t>
      </w:r>
      <w:bookmarkEnd w:id="13"/>
    </w:p>
    <w:p w14:paraId="5D8356C0" w14:textId="77777777" w:rsidR="000D4E74" w:rsidRDefault="00FE0062">
      <w:pPr>
        <w:spacing w:after="160" w:line="280" w:lineRule="auto"/>
        <w:jc w:val="both"/>
      </w:pPr>
      <w:r>
        <w:t>Deux situations doivent être anticipées, propres au test de charge :</w:t>
      </w:r>
    </w:p>
    <w:p w14:paraId="12A3F7AB" w14:textId="77777777" w:rsidR="000D4E74" w:rsidRDefault="00FE0062">
      <w:pPr>
        <w:pStyle w:val="Paragraphedeliste"/>
        <w:numPr>
          <w:ilvl w:val="0"/>
          <w:numId w:val="9"/>
        </w:numPr>
        <w:spacing w:after="90" w:line="270" w:lineRule="auto"/>
      </w:pPr>
      <w:r>
        <w:t>Une interruption pendant la génération d'un très gros volume. Le simulateur doit pouvoir reprendre proprement là où il s'était arrêté, sans produire un jeu de données à moitié généré et silencieusement incomplet.</w:t>
      </w:r>
    </w:p>
    <w:p w14:paraId="37610E86" w14:textId="77777777" w:rsidR="000D4E74" w:rsidRDefault="00FE0062">
      <w:pPr>
        <w:pStyle w:val="Paragraphedeliste"/>
        <w:numPr>
          <w:ilvl w:val="0"/>
          <w:numId w:val="9"/>
        </w:numPr>
        <w:spacing w:after="90" w:line="270" w:lineRule="auto"/>
      </w:pPr>
      <w:r>
        <w:lastRenderedPageBreak/>
        <w:t>Une saturation de l'outil testé sous forte charge. Si l'outil testé cesse de répondre ou ralentit au point de ne plus produire de rapport exploitable, le simulateur doit le signaler comme une limite de charge atteinte</w:t>
      </w:r>
      <w:r w:rsidR="003F1DD4">
        <w:t>,</w:t>
      </w:r>
      <w:r>
        <w:t xml:space="preserve"> une information en soi, pas un échec du test à corriger.</w:t>
      </w:r>
    </w:p>
    <w:tbl>
      <w:tblPr>
        <w:tblW w:w="9350" w:type="dxa"/>
        <w:tblBorders>
          <w:top w:val="single" w:sz="4" w:space="0" w:color="1E2761"/>
          <w:left w:val="single" w:sz="4" w:space="0" w:color="1E2761"/>
          <w:bottom w:val="single" w:sz="4" w:space="0" w:color="1E2761"/>
          <w:right w:val="single" w:sz="4" w:space="0" w:color="1E2761"/>
        </w:tblBorders>
        <w:tblCellMar>
          <w:left w:w="10" w:type="dxa"/>
          <w:right w:w="10" w:type="dxa"/>
        </w:tblCellMar>
        <w:tblLook w:val="04A0" w:firstRow="1" w:lastRow="0" w:firstColumn="1" w:lastColumn="0" w:noHBand="0" w:noVBand="1"/>
      </w:tblPr>
      <w:tblGrid>
        <w:gridCol w:w="9350"/>
      </w:tblGrid>
      <w:tr w:rsidR="000D4E74" w14:paraId="6F48BC62" w14:textId="77777777">
        <w:tc>
          <w:tcPr>
            <w:tcW w:w="9350" w:type="dxa"/>
            <w:shd w:val="clear" w:color="auto" w:fill="F3F6FC"/>
            <w:tcMar>
              <w:top w:w="160" w:type="dxa"/>
              <w:left w:w="220" w:type="dxa"/>
              <w:bottom w:w="160" w:type="dxa"/>
              <w:right w:w="220" w:type="dxa"/>
            </w:tcMar>
          </w:tcPr>
          <w:p w14:paraId="2176F563" w14:textId="77777777" w:rsidR="000D4E74" w:rsidRDefault="00FE0062">
            <w:pPr>
              <w:spacing w:after="80"/>
            </w:pPr>
            <w:r>
              <w:rPr>
                <w:b/>
                <w:bCs/>
                <w:color w:val="1E2761"/>
                <w:sz w:val="21"/>
                <w:szCs w:val="21"/>
              </w:rPr>
              <w:t>Point de cohérence avec les chapitres précédents</w:t>
            </w:r>
          </w:p>
          <w:p w14:paraId="6BB08E1C" w14:textId="77777777" w:rsidR="000D4E74" w:rsidRDefault="00FE0062">
            <w:r>
              <w:rPr>
                <w:sz w:val="20"/>
                <w:szCs w:val="20"/>
              </w:rPr>
              <w:t>La graine (</w:t>
            </w:r>
            <w:r w:rsidR="003F1DD4">
              <w:rPr>
                <w:sz w:val="20"/>
                <w:szCs w:val="20"/>
              </w:rPr>
              <w:t>3</w:t>
            </w:r>
            <w:r>
              <w:rPr>
                <w:sz w:val="20"/>
                <w:szCs w:val="20"/>
              </w:rPr>
              <w:t>.2) est ce qui rend fiable la mesure de faux positifs et faux négatifs du chapitre 1 dès qu'on veut comparer deux campagnes entre elles</w:t>
            </w:r>
            <w:r w:rsidR="003F1DD4">
              <w:rPr>
                <w:sz w:val="20"/>
                <w:szCs w:val="20"/>
              </w:rPr>
              <w:t xml:space="preserve">, </w:t>
            </w:r>
            <w:r>
              <w:rPr>
                <w:sz w:val="20"/>
                <w:szCs w:val="20"/>
              </w:rPr>
              <w:t>sans elle, une différence de résultat pourrait venir d'un jeu de données différent plutôt que d'une vraie différence de performance de l'outil testé.</w:t>
            </w:r>
          </w:p>
        </w:tc>
      </w:tr>
    </w:tbl>
    <w:p w14:paraId="546FF150" w14:textId="77777777" w:rsidR="00FE0062" w:rsidRDefault="00FE0062"/>
    <w:sectPr w:rsidR="00FE0062">
      <w:headerReference w:type="default" r:id="rId7"/>
      <w:footerReference w:type="default" r:id="rId8"/>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F9D1C" w14:textId="77777777" w:rsidR="008A42FB" w:rsidRDefault="008A42FB">
      <w:r>
        <w:separator/>
      </w:r>
    </w:p>
  </w:endnote>
  <w:endnote w:type="continuationSeparator" w:id="0">
    <w:p w14:paraId="34B34A6C" w14:textId="77777777" w:rsidR="008A42FB" w:rsidRDefault="008A4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9B4E0" w14:textId="77777777" w:rsidR="000D4E74" w:rsidRDefault="00FE0062">
    <w:pPr>
      <w:jc w:val="center"/>
    </w:pPr>
    <w:r>
      <w:rPr>
        <w:color w:val="5B5B5B"/>
        <w:sz w:val="16"/>
        <w:szCs w:val="16"/>
      </w:rPr>
      <w:t xml:space="preserve">Page </w:t>
    </w:r>
    <w:r>
      <w:rPr>
        <w:color w:val="5B5B5B"/>
        <w:sz w:val="16"/>
        <w:szCs w:val="16"/>
      </w:rPr>
      <w:fldChar w:fldCharType="begin"/>
    </w:r>
    <w:r>
      <w:rPr>
        <w:color w:val="5B5B5B"/>
        <w:sz w:val="16"/>
        <w:szCs w:val="16"/>
      </w:rPr>
      <w:instrText>PAGE</w:instrText>
    </w:r>
    <w:r>
      <w:rPr>
        <w:color w:val="5B5B5B"/>
        <w:sz w:val="16"/>
        <w:szCs w:val="16"/>
      </w:rPr>
      <w:fldChar w:fldCharType="separate"/>
    </w:r>
    <w:r w:rsidR="004F4FBD">
      <w:rPr>
        <w:noProof/>
        <w:color w:val="5B5B5B"/>
        <w:sz w:val="16"/>
        <w:szCs w:val="16"/>
      </w:rPr>
      <w:t>1</w:t>
    </w:r>
    <w:r>
      <w:rPr>
        <w:color w:val="5B5B5B"/>
        <w:sz w:val="16"/>
        <w:szCs w:val="16"/>
      </w:rPr>
      <w:fldChar w:fldCharType="end"/>
    </w:r>
    <w:r>
      <w:rPr>
        <w:color w:val="5B5B5B"/>
        <w:sz w:val="16"/>
        <w:szCs w:val="16"/>
      </w:rPr>
      <w:t xml:space="preserve"> / </w:t>
    </w:r>
    <w:r>
      <w:rPr>
        <w:color w:val="5B5B5B"/>
        <w:sz w:val="16"/>
        <w:szCs w:val="16"/>
      </w:rPr>
      <w:fldChar w:fldCharType="begin"/>
    </w:r>
    <w:r>
      <w:rPr>
        <w:color w:val="5B5B5B"/>
        <w:sz w:val="16"/>
        <w:szCs w:val="16"/>
      </w:rPr>
      <w:instrText>NUMPAGES</w:instrText>
    </w:r>
    <w:r>
      <w:rPr>
        <w:color w:val="5B5B5B"/>
        <w:sz w:val="16"/>
        <w:szCs w:val="16"/>
      </w:rPr>
      <w:fldChar w:fldCharType="separate"/>
    </w:r>
    <w:r w:rsidR="004F4FBD">
      <w:rPr>
        <w:noProof/>
        <w:color w:val="5B5B5B"/>
        <w:sz w:val="16"/>
        <w:szCs w:val="16"/>
      </w:rPr>
      <w:t>2</w:t>
    </w:r>
    <w:r>
      <w:rPr>
        <w:color w:val="5B5B5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D4D8D" w14:textId="77777777" w:rsidR="008A42FB" w:rsidRDefault="008A42FB">
      <w:r>
        <w:separator/>
      </w:r>
    </w:p>
  </w:footnote>
  <w:footnote w:type="continuationSeparator" w:id="0">
    <w:p w14:paraId="13D1C8DD" w14:textId="77777777" w:rsidR="008A42FB" w:rsidRDefault="008A42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D3C05" w14:textId="77777777" w:rsidR="000D4E74" w:rsidRDefault="00D15DA9">
    <w:pPr>
      <w:jc w:val="right"/>
    </w:pPr>
    <w:r>
      <w:rPr>
        <w:color w:val="5B5B5B"/>
        <w:sz w:val="16"/>
        <w:szCs w:val="16"/>
      </w:rPr>
      <w:t xml:space="preserve">Service Gouvernance de la donnée - </w:t>
    </w:r>
    <w:r w:rsidR="00FE0062">
      <w:rPr>
        <w:color w:val="5B5B5B"/>
        <w:sz w:val="16"/>
        <w:szCs w:val="16"/>
      </w:rPr>
      <w:t xml:space="preserve">Simulateur </w:t>
    </w:r>
    <w:r>
      <w:rPr>
        <w:color w:val="5B5B5B"/>
        <w:sz w:val="16"/>
        <w:szCs w:val="16"/>
      </w:rPr>
      <w:t xml:space="preserve">d’anomalies - </w:t>
    </w:r>
    <w:r w:rsidR="00FE0062">
      <w:rPr>
        <w:color w:val="5B5B5B"/>
        <w:sz w:val="16"/>
        <w:szCs w:val="16"/>
      </w:rPr>
      <w:t>Mécanique détaillée</w:t>
    </w:r>
    <w:r>
      <w:rPr>
        <w:color w:val="5B5B5B"/>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055C"/>
    <w:multiLevelType w:val="hybridMultilevel"/>
    <w:tmpl w:val="E97CE14E"/>
    <w:lvl w:ilvl="0" w:tplc="040C000F">
      <w:start w:val="1"/>
      <w:numFmt w:val="decimal"/>
      <w:lvlText w:val="%1."/>
      <w:lvlJc w:val="left"/>
      <w:pPr>
        <w:ind w:left="420" w:hanging="260"/>
      </w:pPr>
    </w:lvl>
    <w:lvl w:ilvl="1" w:tplc="FFF4EBB0">
      <w:numFmt w:val="decimal"/>
      <w:lvlText w:val=""/>
      <w:lvlJc w:val="left"/>
    </w:lvl>
    <w:lvl w:ilvl="2" w:tplc="8768341A">
      <w:numFmt w:val="decimal"/>
      <w:lvlText w:val=""/>
      <w:lvlJc w:val="left"/>
    </w:lvl>
    <w:lvl w:ilvl="3" w:tplc="25707DEE">
      <w:numFmt w:val="decimal"/>
      <w:lvlText w:val=""/>
      <w:lvlJc w:val="left"/>
    </w:lvl>
    <w:lvl w:ilvl="4" w:tplc="8A30CB52">
      <w:numFmt w:val="decimal"/>
      <w:lvlText w:val=""/>
      <w:lvlJc w:val="left"/>
    </w:lvl>
    <w:lvl w:ilvl="5" w:tplc="91563006">
      <w:numFmt w:val="decimal"/>
      <w:lvlText w:val=""/>
      <w:lvlJc w:val="left"/>
    </w:lvl>
    <w:lvl w:ilvl="6" w:tplc="D3C4BFF2">
      <w:numFmt w:val="decimal"/>
      <w:lvlText w:val=""/>
      <w:lvlJc w:val="left"/>
    </w:lvl>
    <w:lvl w:ilvl="7" w:tplc="5D1434E8">
      <w:numFmt w:val="decimal"/>
      <w:lvlText w:val=""/>
      <w:lvlJc w:val="left"/>
    </w:lvl>
    <w:lvl w:ilvl="8" w:tplc="046AA63A">
      <w:numFmt w:val="decimal"/>
      <w:lvlText w:val=""/>
      <w:lvlJc w:val="left"/>
    </w:lvl>
  </w:abstractNum>
  <w:abstractNum w:abstractNumId="1" w15:restartNumberingAfterBreak="0">
    <w:nsid w:val="0AA21B6D"/>
    <w:multiLevelType w:val="multilevel"/>
    <w:tmpl w:val="A6AA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023FD"/>
    <w:multiLevelType w:val="hybridMultilevel"/>
    <w:tmpl w:val="D57692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2D47F93"/>
    <w:multiLevelType w:val="hybridMultilevel"/>
    <w:tmpl w:val="F2BEE75E"/>
    <w:lvl w:ilvl="0" w:tplc="85CC8C84">
      <w:start w:val="1"/>
      <w:numFmt w:val="bullet"/>
      <w:lvlText w:val="●"/>
      <w:lvlJc w:val="left"/>
      <w:pPr>
        <w:ind w:left="720" w:hanging="360"/>
      </w:pPr>
    </w:lvl>
    <w:lvl w:ilvl="1" w:tplc="1C36AC54">
      <w:start w:val="1"/>
      <w:numFmt w:val="bullet"/>
      <w:lvlText w:val="○"/>
      <w:lvlJc w:val="left"/>
      <w:pPr>
        <w:ind w:left="1440" w:hanging="360"/>
      </w:pPr>
    </w:lvl>
    <w:lvl w:ilvl="2" w:tplc="8B6E998E">
      <w:start w:val="1"/>
      <w:numFmt w:val="bullet"/>
      <w:lvlText w:val="■"/>
      <w:lvlJc w:val="left"/>
      <w:pPr>
        <w:ind w:left="2160" w:hanging="360"/>
      </w:pPr>
    </w:lvl>
    <w:lvl w:ilvl="3" w:tplc="8006E660">
      <w:start w:val="1"/>
      <w:numFmt w:val="bullet"/>
      <w:lvlText w:val="●"/>
      <w:lvlJc w:val="left"/>
      <w:pPr>
        <w:ind w:left="2880" w:hanging="360"/>
      </w:pPr>
    </w:lvl>
    <w:lvl w:ilvl="4" w:tplc="8824436E">
      <w:start w:val="1"/>
      <w:numFmt w:val="bullet"/>
      <w:lvlText w:val="○"/>
      <w:lvlJc w:val="left"/>
      <w:pPr>
        <w:ind w:left="3600" w:hanging="360"/>
      </w:pPr>
    </w:lvl>
    <w:lvl w:ilvl="5" w:tplc="230C01CA">
      <w:start w:val="1"/>
      <w:numFmt w:val="bullet"/>
      <w:lvlText w:val="■"/>
      <w:lvlJc w:val="left"/>
      <w:pPr>
        <w:ind w:left="4320" w:hanging="360"/>
      </w:pPr>
    </w:lvl>
    <w:lvl w:ilvl="6" w:tplc="FB06D6FC">
      <w:start w:val="1"/>
      <w:numFmt w:val="bullet"/>
      <w:lvlText w:val="●"/>
      <w:lvlJc w:val="left"/>
      <w:pPr>
        <w:ind w:left="5040" w:hanging="360"/>
      </w:pPr>
    </w:lvl>
    <w:lvl w:ilvl="7" w:tplc="3B964180">
      <w:start w:val="1"/>
      <w:numFmt w:val="bullet"/>
      <w:lvlText w:val="●"/>
      <w:lvlJc w:val="left"/>
      <w:pPr>
        <w:ind w:left="5760" w:hanging="360"/>
      </w:pPr>
    </w:lvl>
    <w:lvl w:ilvl="8" w:tplc="274E46C0">
      <w:start w:val="1"/>
      <w:numFmt w:val="bullet"/>
      <w:lvlText w:val="●"/>
      <w:lvlJc w:val="left"/>
      <w:pPr>
        <w:ind w:left="6480" w:hanging="360"/>
      </w:pPr>
    </w:lvl>
  </w:abstractNum>
  <w:abstractNum w:abstractNumId="4" w15:restartNumberingAfterBreak="0">
    <w:nsid w:val="6C281643"/>
    <w:multiLevelType w:val="hybridMultilevel"/>
    <w:tmpl w:val="9CCA59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35189742">
    <w:abstractNumId w:val="3"/>
    <w:lvlOverride w:ilvl="0">
      <w:startOverride w:val="1"/>
    </w:lvlOverride>
  </w:num>
  <w:num w:numId="2" w16cid:durableId="834538157">
    <w:abstractNumId w:val="0"/>
  </w:num>
  <w:num w:numId="3" w16cid:durableId="1509371198">
    <w:abstractNumId w:val="1"/>
  </w:num>
  <w:num w:numId="4" w16cid:durableId="287467786">
    <w:abstractNumId w:val="4"/>
  </w:num>
  <w:num w:numId="5" w16cid:durableId="1403257018">
    <w:abstractNumId w:val="0"/>
  </w:num>
  <w:num w:numId="6" w16cid:durableId="1035545672">
    <w:abstractNumId w:val="2"/>
  </w:num>
  <w:num w:numId="7" w16cid:durableId="1677227217">
    <w:abstractNumId w:val="0"/>
    <w:lvlOverride w:ilvl="0">
      <w:startOverride w:val="1"/>
    </w:lvlOverride>
  </w:num>
  <w:num w:numId="8" w16cid:durableId="1248923166">
    <w:abstractNumId w:val="0"/>
    <w:lvlOverride w:ilvl="0">
      <w:startOverride w:val="1"/>
    </w:lvlOverride>
  </w:num>
  <w:num w:numId="9" w16cid:durableId="4026097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E74"/>
    <w:rsid w:val="00094F60"/>
    <w:rsid w:val="000A48CF"/>
    <w:rsid w:val="000D4E74"/>
    <w:rsid w:val="00147D64"/>
    <w:rsid w:val="00183346"/>
    <w:rsid w:val="001E199B"/>
    <w:rsid w:val="001E32C4"/>
    <w:rsid w:val="00224EAE"/>
    <w:rsid w:val="002439C3"/>
    <w:rsid w:val="00280F08"/>
    <w:rsid w:val="003F1DD4"/>
    <w:rsid w:val="00405885"/>
    <w:rsid w:val="004F4FBD"/>
    <w:rsid w:val="005C0A5C"/>
    <w:rsid w:val="00664DDB"/>
    <w:rsid w:val="006A26C0"/>
    <w:rsid w:val="00721FCD"/>
    <w:rsid w:val="008A42FB"/>
    <w:rsid w:val="009D2AC1"/>
    <w:rsid w:val="00B14F4C"/>
    <w:rsid w:val="00CC08DA"/>
    <w:rsid w:val="00CF3211"/>
    <w:rsid w:val="00CF7A2E"/>
    <w:rsid w:val="00D15DA9"/>
    <w:rsid w:val="00E07B8B"/>
    <w:rsid w:val="00E41621"/>
    <w:rsid w:val="00F0690C"/>
    <w:rsid w:val="00FB131B"/>
    <w:rsid w:val="00FE00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1672C"/>
  <w15:docId w15:val="{2A1480BE-4174-4299-A3F4-44433AAB9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rsid w:val="00224EAE"/>
    <w:pPr>
      <w:outlineLvl w:val="0"/>
    </w:pPr>
    <w:rPr>
      <w:color w:val="0E2841" w:themeColor="text2"/>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detabledesmatires">
    <w:name w:val="TOC Heading"/>
    <w:basedOn w:val="Titre1"/>
    <w:next w:val="Normal"/>
    <w:uiPriority w:val="39"/>
    <w:unhideWhenUsed/>
    <w:qFormat/>
    <w:rsid w:val="003F1DD4"/>
    <w:pPr>
      <w:keepNext/>
      <w:keepLines/>
      <w:spacing w:before="240" w:line="259" w:lineRule="auto"/>
      <w:outlineLvl w:val="9"/>
    </w:pPr>
    <w:rPr>
      <w:rFonts w:ascii="Cambria" w:eastAsiaTheme="majorEastAsia" w:hAnsi="Cambria" w:cstheme="majorBidi"/>
      <w:color w:val="auto"/>
    </w:rPr>
  </w:style>
  <w:style w:type="paragraph" w:styleId="TM1">
    <w:name w:val="toc 1"/>
    <w:basedOn w:val="Normal"/>
    <w:next w:val="Normal"/>
    <w:autoRedefine/>
    <w:uiPriority w:val="39"/>
    <w:unhideWhenUsed/>
    <w:rsid w:val="003F1DD4"/>
    <w:pPr>
      <w:spacing w:after="100" w:line="259" w:lineRule="auto"/>
    </w:pPr>
    <w:rPr>
      <w:rFonts w:asciiTheme="minorHAnsi" w:eastAsiaTheme="minorEastAsia" w:hAnsiTheme="minorHAnsi" w:cs="Times New Roman"/>
      <w:color w:val="auto"/>
    </w:rPr>
  </w:style>
  <w:style w:type="paragraph" w:styleId="TM3">
    <w:name w:val="toc 3"/>
    <w:basedOn w:val="Normal"/>
    <w:next w:val="Normal"/>
    <w:autoRedefine/>
    <w:uiPriority w:val="39"/>
    <w:unhideWhenUsed/>
    <w:rsid w:val="003F1DD4"/>
    <w:pPr>
      <w:spacing w:after="100" w:line="259" w:lineRule="auto"/>
      <w:ind w:left="440"/>
    </w:pPr>
    <w:rPr>
      <w:rFonts w:asciiTheme="minorHAnsi" w:eastAsiaTheme="minorEastAsia" w:hAnsiTheme="minorHAnsi" w:cs="Times New Roman"/>
      <w:color w:val="auto"/>
    </w:rPr>
  </w:style>
  <w:style w:type="paragraph" w:styleId="TM2">
    <w:name w:val="toc 2"/>
    <w:basedOn w:val="Normal"/>
    <w:next w:val="Normal"/>
    <w:autoRedefine/>
    <w:uiPriority w:val="39"/>
    <w:unhideWhenUsed/>
    <w:rsid w:val="003F1DD4"/>
    <w:pPr>
      <w:spacing w:after="100"/>
      <w:ind w:left="240"/>
    </w:pPr>
    <w:rPr>
      <w:rFonts w:ascii="Arial Narrow" w:eastAsia="Times New Roman" w:hAnsi="Arial Narrow" w:cs="Times New Roman"/>
      <w:color w:val="auto"/>
      <w:sz w:val="24"/>
      <w:szCs w:val="24"/>
    </w:rPr>
  </w:style>
  <w:style w:type="paragraph" w:styleId="En-tte">
    <w:name w:val="header"/>
    <w:basedOn w:val="Normal"/>
    <w:link w:val="En-tteCar"/>
    <w:uiPriority w:val="99"/>
    <w:unhideWhenUsed/>
    <w:rsid w:val="00D15DA9"/>
    <w:pPr>
      <w:tabs>
        <w:tab w:val="center" w:pos="4536"/>
        <w:tab w:val="right" w:pos="9072"/>
      </w:tabs>
    </w:pPr>
  </w:style>
  <w:style w:type="character" w:customStyle="1" w:styleId="En-tteCar">
    <w:name w:val="En-tête Car"/>
    <w:basedOn w:val="Policepardfaut"/>
    <w:link w:val="En-tte"/>
    <w:uiPriority w:val="99"/>
    <w:rsid w:val="00D15DA9"/>
  </w:style>
  <w:style w:type="paragraph" w:styleId="Pieddepage">
    <w:name w:val="footer"/>
    <w:basedOn w:val="Normal"/>
    <w:link w:val="PieddepageCar"/>
    <w:uiPriority w:val="99"/>
    <w:unhideWhenUsed/>
    <w:rsid w:val="00D15DA9"/>
    <w:pPr>
      <w:tabs>
        <w:tab w:val="center" w:pos="4536"/>
        <w:tab w:val="right" w:pos="9072"/>
      </w:tabs>
    </w:pPr>
  </w:style>
  <w:style w:type="character" w:customStyle="1" w:styleId="PieddepageCar">
    <w:name w:val="Pied de page Car"/>
    <w:basedOn w:val="Policepardfaut"/>
    <w:link w:val="Pieddepage"/>
    <w:uiPriority w:val="99"/>
    <w:rsid w:val="00D15DA9"/>
  </w:style>
  <w:style w:type="table" w:styleId="TableauGrille4-Accentuation6">
    <w:name w:val="Grid Table 4 Accent 6"/>
    <w:basedOn w:val="TableauNormal"/>
    <w:uiPriority w:val="49"/>
    <w:rsid w:val="00F0690C"/>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2812</Words>
  <Characters>14009</Characters>
  <Application>Microsoft Office Word</Application>
  <DocSecurity>0</DocSecurity>
  <Lines>451</Lines>
  <Paragraphs>410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Serge Pacôme N'DIN</cp:lastModifiedBy>
  <cp:revision>2</cp:revision>
  <dcterms:created xsi:type="dcterms:W3CDTF">2026-08-24T15:25:00Z</dcterms:created>
  <dcterms:modified xsi:type="dcterms:W3CDTF">2026-08-24T15:25:00Z</dcterms:modified>
</cp:coreProperties>
</file>