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/>
        <w:jc w:val="center"/>
      </w:pPr>
      <w:r>
        <w:rPr>
          <w:rFonts w:ascii="Arial Unicode MS" w:hAnsi="Arial Unicode MS" w:eastAsia="Arial Unicode MS"/>
          <w:b/>
          <w:i w:val="0"/>
          <w:color w:val="8A6500"/>
          <w:sz w:val="24"/>
        </w:rPr>
        <w:t>研究预实验与资助建议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i w:val="0"/>
          <w:color w:val="163A5F"/>
          <w:sz w:val="52"/>
        </w:rPr>
        <w:t>中文叙事质量评估中的来源偏差</w:t>
      </w:r>
    </w:p>
    <w:p>
      <w:pPr>
        <w:spacing w:after="520"/>
        <w:jc w:val="center"/>
      </w:pPr>
      <w:r>
        <w:rPr>
          <w:rFonts w:ascii="Arial Unicode MS" w:hAnsi="Arial Unicode MS" w:eastAsia="Arial Unicode MS"/>
          <w:b w:val="0"/>
          <w:i w:val="0"/>
          <w:color w:val="2E74B5"/>
          <w:sz w:val="32"/>
        </w:rPr>
        <w:t>20题盲测可行性报告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468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18"/>
              </w:rPr>
              <w:t>实验规模</w:t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21"/>
              </w:rPr>
              <w:t>20题 · 80篇 · 60组人机配对</w:t>
            </w:r>
          </w:p>
        </w:tc>
        <w:tc>
          <w:tcPr>
            <w:tcW w:type="dxa" w:w="468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18"/>
              </w:rPr>
              <w:t>本地基线</w:t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21"/>
              </w:rPr>
              <w:t>Llama-3 8B Reward + Qwen3-VL 8B</w:t>
            </w:r>
          </w:p>
        </w:tc>
      </w:tr>
      <w:tr>
        <w:tc>
          <w:tcPr>
            <w:tcW w:type="dxa" w:w="468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18"/>
              </w:rPr>
              <w:t>计算成本</w:t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21"/>
              </w:rPr>
              <w:t>服务器本地推理；API费用为0</w:t>
            </w:r>
          </w:p>
        </w:tc>
        <w:tc>
          <w:tcPr>
            <w:tcW w:type="dxa" w:w="468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18"/>
              </w:rPr>
              <w:t>报告日期</w:t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21"/>
              </w:rPr>
              <w:t>2026年8月21日</w:t>
            </w:r>
          </w:p>
        </w:tc>
      </w:tr>
    </w:tbl>
    <w:p>
      <w:pPr>
        <w:spacing w:after="200"/>
      </w:pPr>
    </w:p>
    <w:p>
      <w:pPr>
        <w:spacing w:before="80" w:after="200" w:line="288" w:lineRule="auto"/>
        <w:ind w:left="173" w:right="173"/>
        <w:shd w:fill="EAF2F8"/>
      </w:pPr>
      <w:r>
        <w:rPr>
          <w:rFonts w:ascii="Arial Unicode MS" w:hAnsi="Arial Unicode MS" w:eastAsia="Arial Unicode MS"/>
          <w:b/>
          <w:i w:val="0"/>
          <w:color w:val="163A5F"/>
          <w:sz w:val="22"/>
        </w:rPr>
        <w:t xml:space="preserve">决策建议  </w:t>
      </w:r>
      <w:r>
        <w:rPr>
          <w:rFonts w:ascii="Arial Unicode MS" w:hAnsi="Arial Unicode MS" w:eastAsia="Arial Unicode MS"/>
          <w:b w:val="0"/>
          <w:i w:val="0"/>
          <w:color w:val="163A5F"/>
          <w:sz w:val="22"/>
        </w:rPr>
        <w:t>建议进入“有条件资助”的第二阶段，但资金应优先用于数据校准与人工盲评，而不是立即训练大规模评分器。技术路径已跑通，研究问题也真实存在；当前20题结果尚不能证明来源偏差。</w:t>
      </w:r>
    </w:p>
    <w:p>
      <w:pPr>
        <w:pStyle w:val="Heading1"/>
        <w:keepNext/>
      </w:pPr>
      <w:r>
        <w:t>一、这次预实验回答了什么</w:t>
      </w:r>
    </w:p>
    <w:p>
      <w:pPr>
        <w:jc w:val="both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核心问题不是“模型能否给一个分数”，而是：当人类文本与机器文本质量相当时，评估器是否仍会根据来源痕迹产生系统性偏好。等级、分数、维度和评语只是解释判断的输出层；论文主线是质量与来源的解耦。</w:t>
      </w:r>
    </w:p>
    <w:p>
      <w:pPr>
        <w:jc w:val="both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本轮20题实验先验证两个前提：第一，现有流水线能否无API费用地完成盲配、评分和稳健性检查；第二，当前文本池是否已经具备直接研究来源偏差的条件。答案分别是“能”和“还不具备”。</w:t>
      </w:r>
    </w:p>
    <w:p>
      <w:pPr>
        <w:pStyle w:val="Heading1"/>
        <w:keepNext/>
      </w:pPr>
      <w:r>
        <w:t>二、实验设计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20个反向构造的中文叙事题目，每题对应1篇现有人类文本和3篇机器文本。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机器条件包括Gemini 3.5 Flash Lite、Gemini 3.6 Flash与DeepSeek聊天端（关闭深度思考和搜索）。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共80篇文本、60组同题人机配对；左右位置在主配对中总体平衡，评审时不提供来源或生成器标签。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本地Llama-3 8B reward model为80篇文本打分；本地Qwen3-VL 8B完成60组中文编辑式盲评。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另外抽取每题1组、共20组反转A/B位置重评，用于测量位置偏差。</w:t>
      </w:r>
    </w:p>
    <w:p>
      <w:pPr>
        <w:pStyle w:val="Heading1"/>
        <w:keepNext/>
      </w:pPr>
      <w:r>
        <w:t>三、关键结果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2700"/>
        <w:gridCol w:w="4760"/>
      </w:tblGrid>
      <w:tr>
        <w:trPr>
          <w:tblHeader w:val="true"/>
        </w:trPr>
        <w:tc>
          <w:tcPr>
            <w:tcW w:type="dxa" w:w="190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观察</w:t>
            </w:r>
          </w:p>
        </w:tc>
        <w:tc>
          <w:tcPr>
            <w:tcW w:type="dxa" w:w="270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结果</w:t>
            </w:r>
          </w:p>
        </w:tc>
        <w:tc>
          <w:tcPr>
            <w:tcW w:type="dxa" w:w="476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应如何解释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来源可识别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字形模型 AUC 0.959；仅长度 AUC 0.963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人机来源痕迹非常强，且长度几乎单独解释来源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Reward偏好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机器胜 59/60；模型间分差约 +4.95（机器）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当前机器样本明显更符合通用偏好模型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Qwen盲评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机器胜 53/60；人类胜率 11.7%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中文编辑式代理评审同样强烈偏向机器样本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跨模型一致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方向一致率 86.7%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结果不只是单一模型的偶然输出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位置稳健性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反转后方向一致 70%；显示A被选 15/20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Qwen存在明显位置敏感，正式实验必须双位置汇总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双位置汇总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机器胜 19/20；人类胜率 5.0%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消除部分位置影响后，当前样本差距仍很大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rPr>
          <w:rFonts w:ascii="Arial Unicode MS" w:hAnsi="Arial Unicode MS" w:eastAsia="Arial Unicode MS"/>
          <w:b/>
          <w:i w:val="0"/>
          <w:color w:val="667085"/>
          <w:sz w:val="19"/>
        </w:rPr>
        <w:t>图1　来源可识别性与代理模型偏好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65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ot20_key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65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667085"/>
          <w:sz w:val="17"/>
        </w:rPr>
        <w:t>注：误差线为按题目分组自助法95%区间；代理模型结果不是人类金标准。</w:t>
      </w:r>
    </w:p>
    <w:p>
      <w:pPr>
        <w:pStyle w:val="Heading1"/>
        <w:keepNext/>
      </w:pPr>
      <w:r>
        <w:t>四、最重要的科学结论</w:t>
      </w:r>
    </w:p>
    <w:p>
      <w:pPr>
        <w:spacing w:before="80" w:after="200" w:line="288" w:lineRule="auto"/>
        <w:ind w:left="173" w:right="173"/>
        <w:shd w:fill="FFF4E5"/>
      </w:pPr>
      <w:r>
        <w:rPr>
          <w:rFonts w:ascii="Arial Unicode MS" w:hAnsi="Arial Unicode MS" w:eastAsia="Arial Unicode MS"/>
          <w:b/>
          <w:i w:val="0"/>
          <w:color w:val="8A6500"/>
          <w:sz w:val="22"/>
        </w:rPr>
        <w:t xml:space="preserve">不是“发现机器偏好”  </w:t>
      </w:r>
      <w:r>
        <w:rPr>
          <w:rFonts w:ascii="Arial Unicode MS" w:hAnsi="Arial Unicode MS" w:eastAsia="Arial Unicode MS"/>
          <w:b w:val="0"/>
          <w:i w:val="0"/>
          <w:color w:val="8A6500"/>
          <w:sz w:val="22"/>
        </w:rPr>
        <w:t>本轮只能说明：当前机器文本在两个代理评审中显著高于当前人类文本。由于人类文本尚未经过独立质量审核，而且机器文本普遍更长，因此无法判断评审器是在识别真实质量差异，还是在利用来源线索。</w:t>
      </w:r>
    </w:p>
    <w:p>
      <w:pPr>
        <w:jc w:val="both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这不是预实验失败，反而准确定位了论文最难、也最有价值的部分：必须先建立“人类高质量”和“机器高质量”可比的质量重叠区，才能估计控制质量后的来源残差。若跳过这一步直接训练评分器，论文很容易退化为“区分当前数据集的人和机器”。</w:t>
      </w:r>
    </w:p>
    <w:p>
      <w:pPr>
        <w:jc w:val="both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长度相关性也不能简单等同于质量。80篇文本中，reward分数与长度的Spearman相关为0.694，Qwen平均分与长度的相关为0.421；但探索性线性校正后，机器优势仍然存在。这说明长度是显著混杂因素，却不是唯一解释。真正的判定仍需长度匹配生成和独立人类盲评。</w:t>
      </w:r>
    </w:p>
    <w:p>
      <w:pPr>
        <w:jc w:val="both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此外，Qwen有21/60条输出出现“偏好字段与分数/评语不一致”，本报告按分数重新计算偏好并保留原始记录。该现象与位置敏感共同说明：LLM-as-a-Judge只能作为基线，不能替代人类标签。</w:t>
      </w:r>
    </w:p>
    <w:p>
      <w:pPr>
        <w:pStyle w:val="Heading1"/>
        <w:keepNext/>
      </w:pPr>
      <w:r>
        <w:t>五、为什么值得申请下一阶段资助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可执行：盲化、同题配对、生成器留出、来源探针、reward基线、LLM裁判和位置反转检查均已实现。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可证伪：若质量匹配后来源效应消失，论文应诚实报告“没有来源偏差”；若仍存在，则得到核心发现。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有现实价值：现有自动评审可能把长度、模板化完整度或生成器风格误当作文学质量，直接影响模型训练与内容筛选。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成本可控：服务器已有H100与开源模型；下一阶段主要支出应是人工标注、文本授权与数据清理。</w:t>
      </w:r>
    </w:p>
    <w:p>
      <w:pPr>
        <w:pStyle w:val="Heading1"/>
        <w:keepNext/>
      </w:pPr>
      <w:r>
        <w:t>六、建议资助的最小下一阶段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先修复这20题：逐篇审核人类文本的完整性、版权/许可、题目一致性和明显噪声；不合格文本替换，不扩规模。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按每篇人类文本长度的±10%重新生成机器文本，并固定无搜索、无外部工具和统一采样协议；保留至少3个生成器条件。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对60组同题人机配对做双盲人工评审，每组至少5名评审者，共约300份成对判断；先测评审一致性与质量重叠。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模型评审一律双位置运行并汇总；reward、开源LLM judge和简单长度/表层特征模型共同作为基线。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达到继续标准后再扩到40—100题；未达到则先修数据，不进入2000篇规模，也不训练最终评分器。</w:t>
      </w:r>
    </w:p>
    <w:p>
      <w:pPr>
        <w:pStyle w:val="Heading1"/>
        <w:keepNext/>
      </w:pPr>
      <w:r>
        <w:t>七、第二阶段的继续/停止标准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400"/>
        <w:gridCol w:w="3060"/>
      </w:tblGrid>
      <w:tr>
        <w:trPr>
          <w:tblHeader w:val="true"/>
        </w:trPr>
        <w:tc>
          <w:tcPr>
            <w:tcW w:type="dxa" w:w="190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检查点</w:t>
            </w:r>
          </w:p>
        </w:tc>
        <w:tc>
          <w:tcPr>
            <w:tcW w:type="dxa" w:w="440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继续条件</w:t>
            </w:r>
          </w:p>
        </w:tc>
        <w:tc>
          <w:tcPr>
            <w:tcW w:type="dxa" w:w="306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不满足时的动作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人类数据质量</w:t>
            </w:r>
          </w:p>
        </w:tc>
        <w:tc>
          <w:tcPr>
            <w:tcW w:type="dxa" w:w="4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审计通过且无明显截断/任务不一致</w:t>
            </w:r>
          </w:p>
        </w:tc>
        <w:tc>
          <w:tcPr>
            <w:tcW w:type="dxa" w:w="3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替换文本，不扩数据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长度控制</w:t>
            </w:r>
          </w:p>
        </w:tc>
        <w:tc>
          <w:tcPr>
            <w:tcW w:type="dxa" w:w="4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机器文本相对人类文本控制在±10%</w:t>
            </w:r>
          </w:p>
        </w:tc>
        <w:tc>
          <w:tcPr>
            <w:tcW w:type="dxa" w:w="3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重新生成对应样本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人工可靠性</w:t>
            </w:r>
          </w:p>
        </w:tc>
        <w:tc>
          <w:tcPr>
            <w:tcW w:type="dxa" w:w="4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成对偏好达到可解释的一致性</w:t>
            </w:r>
          </w:p>
        </w:tc>
        <w:tc>
          <w:tcPr>
            <w:tcW w:type="dxa" w:w="3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优化指南、培训评审者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质量重叠</w:t>
            </w:r>
          </w:p>
        </w:tc>
        <w:tc>
          <w:tcPr>
            <w:tcW w:type="dxa" w:w="4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存在足量高机低人、低机高人及相近质量配对</w:t>
            </w:r>
          </w:p>
        </w:tc>
        <w:tc>
          <w:tcPr>
            <w:tcW w:type="dxa" w:w="3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补采边界样本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63A5F"/>
                <w:sz w:val="19"/>
              </w:rPr>
              <w:t>论文信号</w:t>
            </w:r>
          </w:p>
        </w:tc>
        <w:tc>
          <w:tcPr>
            <w:tcW w:type="dxa" w:w="4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控制人类质量后仍有来源残差或未见生成器崩溃</w:t>
            </w:r>
          </w:p>
        </w:tc>
        <w:tc>
          <w:tcPr>
            <w:tcW w:type="dxa" w:w="3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转向评测协议/负结果论文</w:t>
            </w:r>
          </w:p>
        </w:tc>
      </w:tr>
    </w:tbl>
    <w:p>
      <w:pPr>
        <w:pStyle w:val="Heading1"/>
        <w:keepNext/>
      </w:pPr>
      <w:r>
        <w:t>八、最终判断</w:t>
      </w:r>
    </w:p>
    <w:p>
      <w:pPr>
        <w:jc w:val="both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这20题已经足以证明项目值得做一个受控的小规模人工阶段，但不足以支持论文结论，更不足以直接训练最终评估器。最合理的资助叙事不是“我们已经发现模型偏见”，而是“我们已经用零API成本跑通方法，并发现现有数据会把来源、长度与真实质量严重混在一起；下一阶段将用人工金标准和长度匹配实验解决这个关键识别问题”。</w:t>
      </w:r>
    </w:p>
    <w:p>
      <w:pPr>
        <w:spacing w:before="80" w:after="200" w:line="288" w:lineRule="auto"/>
        <w:ind w:left="173" w:right="173"/>
        <w:shd w:fill="EAF6EF"/>
      </w:pPr>
      <w:r>
        <w:rPr>
          <w:rFonts w:ascii="Arial Unicode MS" w:hAnsi="Arial Unicode MS" w:eastAsia="Arial Unicode MS"/>
          <w:b/>
          <w:i w:val="0"/>
          <w:color w:val="246B46"/>
          <w:sz w:val="22"/>
        </w:rPr>
        <w:t xml:space="preserve">资助定位  </w:t>
      </w:r>
      <w:r>
        <w:rPr>
          <w:rFonts w:ascii="Arial Unicode MS" w:hAnsi="Arial Unicode MS" w:eastAsia="Arial Unicode MS"/>
          <w:b w:val="0"/>
          <w:i w:val="0"/>
          <w:color w:val="246B46"/>
          <w:sz w:val="22"/>
        </w:rPr>
        <w:t>建议申请“方法验证与数据校准型”小额启动经费。主要预算：人工盲评、数据授权/清理、长度匹配再生成；算力预算可以很低。</w:t>
      </w:r>
    </w:p>
    <w:p>
      <w:pPr>
        <w:pStyle w:val="Heading1"/>
        <w:keepNext/>
      </w:pPr>
      <w:r>
        <w:t>附录：复现实验资产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20题盲测清单与私有来源键（80篇文本）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60组人机盲配与120组同题全配对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来源探针、reward评分、Qwen盲评与20组反转审计原始结果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分组自助法置信区间和长度探索性校正脚本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本地服务器开源模型运行脚本；无需付费API</w:t>
      </w:r>
    </w:p>
    <w:p>
      <w:pPr>
        <w:spacing w:before="160"/>
      </w:pPr>
      <w:r>
        <w:rPr>
          <w:rFonts w:ascii="Arial Unicode MS" w:hAnsi="Arial Unicode MS" w:eastAsia="Arial Unicode MS"/>
          <w:b/>
          <w:i w:val="0"/>
          <w:color w:val="9B1C1C"/>
          <w:sz w:val="18"/>
        </w:rPr>
        <w:t>限制声明：</w:t>
      </w:r>
      <w:r>
        <w:rPr>
          <w:rFonts w:ascii="Arial Unicode MS" w:hAnsi="Arial Unicode MS" w:eastAsia="Arial Unicode MS"/>
          <w:b w:val="0"/>
          <w:i w:val="0"/>
          <w:color w:val="9B1C1C"/>
          <w:sz w:val="18"/>
        </w:rPr>
        <w:t>人类样本来自现有数据混池，尚处于暂定审核状态；本报告中的模型判断均为代理结果，不得写作人类质量结论或因果偏差结论。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第 </w:t>
    </w:r>
    <w:fldSimple w:instr="PAGE"/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i w:val="0"/>
        <w:color w:val="667085"/>
        <w:sz w:val="18"/>
      </w:rPr>
      <w:t>NARRATION EVALUATION  |  PILOT 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0" w:lineRule="auto"/>
      <w:contextualSpacing/>
    </w:pPr>
    <w:rPr>
      <w:rFonts w:ascii="Arial Unicode MS" w:hAnsi="Arial Unicode MS" w:eastAsia="Arial Unicode MS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90" w:lineRule="auto"/>
      <w:contextualSpacing/>
    </w:pPr>
    <w:rPr>
      <w:rFonts w:ascii="Arial Unicode MS" w:hAnsi="Arial Unicode MS" w:eastAsia="Arial Unicode MS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