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24A0C"/>
        </w:rPr>
        <w:t>Magnus Operations Platform — Migration Preparation Handoff</w:t>
      </w:r>
    </w:p>
    <w:p>
      <w:r>
        <w:rPr>
          <w:b/>
        </w:rPr>
        <w:t>From:</w:t>
      </w:r>
      <w:r>
        <w:t xml:space="preserve"> Karl Ivan Estadola, Chief Executive Officer</w:t>
      </w:r>
    </w:p>
    <w:p>
      <w:r>
        <w:rPr>
          <w:b/>
        </w:rPr>
        <w:t>To:</w:t>
      </w:r>
      <w:r>
        <w:t xml:space="preserve"> Department heads and record owners named in section 4</w:t>
      </w:r>
    </w:p>
    <w:p>
      <w:r>
        <w:rPr>
          <w:b/>
        </w:rPr>
        <w:t>Date:</w:t>
      </w:r>
      <w:r>
        <w:t xml:space="preserve"> 3 September 2026</w:t>
      </w:r>
    </w:p>
    <w:p>
      <w:r>
        <w:rPr>
          <w:b/>
        </w:rPr>
        <w:t>Deadline for all records:</w:t>
      </w:r>
      <w:r>
        <w:t xml:space="preserve"> stated per item in section 4</w:t>
      </w:r>
    </w:p>
    <w:p>
      <w:r>
        <w:rPr>
          <w:b/>
        </w:rPr>
        <w:t>Questions:</w:t>
      </w:r>
      <w:r>
        <w:t xml:space="preserve"> post them in the "Platform migration" Messenger group, not by private message, so everyone sees the answer once.</w:t>
      </w:r>
    </w:p>
    <w:p>
      <w:pPr>
        <w:pStyle w:val="Heading1"/>
      </w:pPr>
      <w:r>
        <w:rPr>
          <w:color w:val="C24A0C"/>
        </w:rPr>
        <w:t>1. What this is about</w:t>
      </w:r>
    </w:p>
    <w:p>
      <w:r>
        <w:t>Magnus is replacing the spreadsheets, Messenger groups and shared folders we run projects on with one operations platform. It covers pipeline, projects, design, procurement, permits, inventory, manpower, safety, operations and maintenance, documents, messages, finance, human resource, payroll and reports. It is being built now and will be tested by some of you on phones and at the Laguna warehouse in the coming weeks.</w:t>
      </w:r>
    </w:p>
    <w:p>
      <w:r>
        <w:t xml:space="preserve">Before we can use it, the records we work with today have to be loaded into it. That loading is called the migration. </w:t>
      </w:r>
      <w:r>
        <w:rPr>
          <w:b/>
        </w:rPr>
        <w:t>You will not type anything into the platform.</w:t>
      </w:r>
      <w:r>
        <w:t xml:space="preserve"> You collect the records in the form described below; the loading is done for you by an assistant working under my account, in batches, and each batch is checked on screen before the next.</w:t>
      </w:r>
    </w:p>
    <w:p>
      <w:r>
        <w:t>Two rules from the platform's design govern this work:</w:t>
      </w:r>
    </w:p>
    <w:p>
      <w:pPr>
        <w:pStyle w:val="ListNumber"/>
      </w:pPr>
      <w:r>
        <w:rPr>
          <w:b/>
        </w:rPr>
        <w:t>Nothing is loaded that nobody will maintain.</w:t>
      </w:r>
      <w:r>
        <w:t xml:space="preserve"> A record that is wrong on day one is worse than no record, because people will trust it. Give me what is true today, not what the old spreadsheet says.</w:t>
      </w:r>
    </w:p>
    <w:p>
      <w:pPr>
        <w:pStyle w:val="ListNumber"/>
      </w:pPr>
      <w:r>
        <w:rPr>
          <w:b/>
        </w:rPr>
        <w:t>Live records only.</w:t>
      </w:r>
      <w:r>
        <w:t xml:space="preserve"> Finished projects, their documents and their chat history stay where they are and remain searchable. Historical accounting stays in the accounting system. Only projects, agreements, orders, permits and stock that are open today come across.</w:t>
      </w:r>
    </w:p>
    <w:p>
      <w:pPr>
        <w:pStyle w:val="Heading1"/>
      </w:pPr>
      <w:r>
        <w:rPr>
          <w:color w:val="C24A0C"/>
        </w:rPr>
        <w:t>2. What you receive with this document</w:t>
      </w:r>
    </w:p>
    <w:p>
      <w:pPr>
        <w:pStyle w:val="ListBullet"/>
      </w:pPr>
      <w:r>
        <w:rPr>
          <w:b/>
        </w:rPr>
        <w:t>The migration workbook</w:t>
      </w:r>
      <w:r>
        <w:t xml:space="preserve">, </w:t>
      </w:r>
      <w:r>
        <w:rPr>
          <w:rFonts w:ascii="Consolas" w:hAnsi="Consolas"/>
          <w:sz w:val="19"/>
        </w:rPr>
        <w:t>MAGNUS-MIGRATION-TEMPLATES.xlsx</w:t>
      </w:r>
      <w:r>
        <w:t>. Twenty-five sheets, one per type of record. Row 1 is the column names. Row 2 is an example in grey italics: overwrite it or delete it, never leave it. Hover over any column header to read the rule for that column. Yellow columns are required; light yellow columns are optional.</w:t>
      </w:r>
    </w:p>
    <w:p>
      <w:pPr>
        <w:pStyle w:val="ListBullet"/>
      </w:pPr>
      <w:r>
        <w:rPr>
          <w:b/>
        </w:rPr>
        <w:t>A Drive folder</w:t>
      </w:r>
      <w:r>
        <w:t xml:space="preserve">, </w:t>
      </w:r>
      <w:r>
        <w:rPr>
          <w:rFonts w:ascii="Consolas" w:hAnsi="Consolas"/>
          <w:sz w:val="19"/>
        </w:rPr>
        <w:t>Magnus Platform Migration</w:t>
      </w:r>
      <w:r>
        <w:t>, with one sub-folder per department. Put your filled sheets and your documents there.</w:t>
      </w:r>
    </w:p>
    <w:p>
      <w:r>
        <w:t>You do not have to retype anything that already exists in a spreadsheet. If your masterlist already has the information, put a copy of that file in your folder and write on the README sheet which file and which columns to read. The assistant will fill the workbook from it.</w:t>
      </w:r>
    </w:p>
    <w:p>
      <w:pPr>
        <w:pStyle w:val="Heading1"/>
      </w:pPr>
      <w:r>
        <w:rPr>
          <w:color w:val="C24A0C"/>
        </w:rPr>
        <w:t>3. Rules for every sheet</w:t>
      </w:r>
    </w:p>
    <w:p>
      <w:pPr>
        <w:pStyle w:val="ListBullet"/>
      </w:pPr>
      <w:r>
        <w:rPr>
          <w:b/>
        </w:rPr>
        <w:t>Names link the sheets.</w:t>
      </w:r>
      <w:r>
        <w:t xml:space="preserve"> A person is referred to by exact full name everywhere; a customer by its legal name as on the contract; a site by the site name in the Sites sheet; a project by its project code; an item by its item code. Spell each one identically on every sheet. A link that does not match is refused.</w:t>
      </w:r>
    </w:p>
    <w:p>
      <w:pPr>
        <w:pStyle w:val="ListBullet"/>
      </w:pPr>
      <w:r>
        <w:rPr>
          <w:b/>
        </w:rPr>
        <w:t>Aliases prevent duplicates.</w:t>
      </w:r>
      <w:r>
        <w:t xml:space="preserve"> In the Persons sheet, list every spelling of a name that appears in old records, separated by semicolons: </w:t>
      </w:r>
      <w:r>
        <w:rPr>
          <w:rFonts w:ascii="Consolas" w:hAnsi="Consolas"/>
          <w:sz w:val="19"/>
        </w:rPr>
        <w:t>M. Bautista; Mario B.</w:t>
      </w:r>
      <w:r>
        <w:t>. Without this, one person becomes three records and payroll, attendance and deployment all break.</w:t>
      </w:r>
    </w:p>
    <w:p>
      <w:pPr>
        <w:pStyle w:val="ListBullet"/>
      </w:pPr>
      <w:r>
        <w:rPr>
          <w:b/>
        </w:rPr>
        <w:t>Dates</w:t>
      </w:r>
      <w:r>
        <w:t xml:space="preserve"> are written </w:t>
      </w:r>
      <w:r>
        <w:rPr>
          <w:rFonts w:ascii="Consolas" w:hAnsi="Consolas"/>
          <w:sz w:val="19"/>
        </w:rPr>
        <w:t>2026-09-15</w:t>
      </w:r>
      <w:r>
        <w:t xml:space="preserve">. </w:t>
      </w:r>
      <w:r>
        <w:rPr>
          <w:b/>
        </w:rPr>
        <w:t>Money</w:t>
      </w:r>
      <w:r>
        <w:t xml:space="preserve"> is numbers only: </w:t>
      </w:r>
      <w:r>
        <w:rPr>
          <w:rFonts w:ascii="Consolas" w:hAnsi="Consolas"/>
          <w:sz w:val="19"/>
        </w:rPr>
        <w:t>28800000</w:t>
      </w:r>
      <w:r>
        <w:t xml:space="preserve">, no commas, no peso sign. </w:t>
      </w:r>
      <w:r>
        <w:rPr>
          <w:b/>
        </w:rPr>
        <w:t>Yes and no</w:t>
      </w:r>
      <w:r>
        <w:t xml:space="preserve"> in lower case.</w:t>
      </w:r>
    </w:p>
    <w:p>
      <w:pPr>
        <w:pStyle w:val="ListBullet"/>
      </w:pPr>
      <w:r>
        <w:rPr>
          <w:b/>
        </w:rPr>
        <w:t>Where a column asks for a file name</w:t>
      </w:r>
      <w:r>
        <w:t>, the file goes in your Drive folder with exactly that name. A signed contract means the signed copy, not a draft. An agreement without its signed document loads as draft and produces no billing.</w:t>
      </w:r>
    </w:p>
    <w:p>
      <w:pPr>
        <w:pStyle w:val="ListBullet"/>
      </w:pPr>
      <w:r>
        <w:rPr>
          <w:b/>
        </w:rPr>
        <w:t>Never put in the workbook:</w:t>
      </w:r>
      <w:r>
        <w:t xml:space="preserve"> passwords, monitoring portal logins, anybody's salary, ratings, disciplinary or medical information. Pay rates and statutory tables are entered on screen later by Human Resource and Finance together, under dual control.</w:t>
      </w:r>
    </w:p>
    <w:p>
      <w:pPr>
        <w:pStyle w:val="ListBullet"/>
      </w:pPr>
      <w:r>
        <w:rPr>
          <w:b/>
        </w:rPr>
        <w:t>Source reference.</w:t>
      </w:r>
      <w:r>
        <w:t xml:space="preserve"> Where the sheet has a </w:t>
      </w:r>
      <w:r>
        <w:rPr>
          <w:rFonts w:ascii="Consolas" w:hAnsi="Consolas"/>
          <w:sz w:val="19"/>
        </w:rPr>
        <w:t>source_reference</w:t>
      </w:r>
      <w:r>
        <w:t xml:space="preserve"> column, write which file and row the record came from. This is how a wrong record is traced back.</w:t>
      </w:r>
    </w:p>
    <w:p>
      <w:pPr>
        <w:pStyle w:val="Heading1"/>
      </w:pPr>
      <w:r>
        <w:rPr>
          <w:color w:val="C24A0C"/>
        </w:rPr>
        <w:t>4. Who prepares what, and by when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rPr>
              <w:t>Sheet</w:t>
            </w:r>
          </w:p>
        </w:tc>
        <w:tc>
          <w:tcPr>
            <w:tcW w:type="dxa" w:w="2160"/>
          </w:tcPr>
          <w:p>
            <w:pPr>
              <w:spacing w:after="40"/>
            </w:pPr>
            <w:r>
              <w:rPr>
                <w:b/>
              </w:rPr>
              <w:t>Owner</w:t>
            </w:r>
          </w:p>
        </w:tc>
        <w:tc>
          <w:tcPr>
            <w:tcW w:type="dxa" w:w="2160"/>
          </w:tcPr>
          <w:p>
            <w:pPr>
              <w:spacing w:after="40"/>
            </w:pPr>
            <w:r>
              <w:rPr>
                <w:b/>
              </w:rPr>
              <w:t>What to gather</w:t>
            </w:r>
          </w:p>
        </w:tc>
        <w:tc>
          <w:tcPr>
            <w:tcW w:type="dxa" w:w="2160"/>
          </w:tcPr>
          <w:p>
            <w:pPr>
              <w:spacing w:after="40"/>
            </w:pPr>
            <w:r>
              <w:rPr>
                <w:b/>
              </w:rPr>
              <w:t>Due</w:t>
            </w:r>
          </w:p>
        </w:tc>
      </w:tr>
      <w:tr>
        <w:tc>
          <w:tcPr>
            <w:tcW w:type="dxa" w:w="2160"/>
          </w:tcPr>
          <w:p>
            <w:pPr>
              <w:spacing w:after="40"/>
            </w:pPr>
            <w:r>
              <w:t>Roles</w:t>
            </w:r>
          </w:p>
        </w:tc>
        <w:tc>
          <w:tcPr>
            <w:tcW w:type="dxa" w:w="2160"/>
          </w:tcPr>
          <w:p>
            <w:pPr>
              <w:spacing w:after="40"/>
            </w:pPr>
            <w:r>
              <w:t>Karl</w:t>
            </w:r>
          </w:p>
        </w:tc>
        <w:tc>
          <w:tcPr>
            <w:tcW w:type="dxa" w:w="2160"/>
          </w:tcPr>
          <w:p>
            <w:pPr>
              <w:spacing w:after="40"/>
            </w:pPr>
            <w:r>
              <w:t>Already prepared</w:t>
            </w:r>
          </w:p>
        </w:tc>
        <w:tc>
          <w:tcPr>
            <w:tcW w:type="dxa" w:w="2160"/>
          </w:tcPr>
          <w:p>
            <w:pPr>
              <w:spacing w:after="40"/>
            </w:pPr>
            <w:r>
              <w:t>—</w:t>
            </w:r>
          </w:p>
        </w:tc>
      </w:tr>
      <w:tr>
        <w:tc>
          <w:tcPr>
            <w:tcW w:type="dxa" w:w="2160"/>
          </w:tcPr>
          <w:p>
            <w:pPr>
              <w:spacing w:after="40"/>
            </w:pPr>
            <w:r>
              <w:t>Persons</w:t>
            </w:r>
          </w:p>
        </w:tc>
        <w:tc>
          <w:tcPr>
            <w:tcW w:type="dxa" w:w="2160"/>
          </w:tcPr>
          <w:p>
            <w:pPr>
              <w:spacing w:after="40"/>
            </w:pPr>
            <w:r>
              <w:t>Human Resource</w:t>
            </w:r>
          </w:p>
        </w:tc>
        <w:tc>
          <w:tcPr>
            <w:tcW w:type="dxa" w:w="2160"/>
          </w:tcPr>
          <w:p>
            <w:pPr>
              <w:spacing w:after="40"/>
            </w:pPr>
            <w:r>
              <w:t>Every employee, subcontractor person and consultant we work with today: full name, all alias spellings, office / field / warehouse / consultant, employer if not Magnus, whether they will sign in and with which email, home region, who vouches for subcontractor personnel</w:t>
            </w:r>
          </w:p>
        </w:tc>
        <w:tc>
          <w:tcPr>
            <w:tcW w:type="dxa" w:w="2160"/>
          </w:tcPr>
          <w:p>
            <w:pPr>
              <w:spacing w:after="40"/>
            </w:pPr>
            <w:r>
              <w:t>10 September</w:t>
            </w:r>
          </w:p>
        </w:tc>
      </w:tr>
      <w:tr>
        <w:tc>
          <w:tcPr>
            <w:tcW w:type="dxa" w:w="2160"/>
          </w:tcPr>
          <w:p>
            <w:pPr>
              <w:spacing w:after="40"/>
            </w:pPr>
            <w:r>
              <w:t>Parties</w:t>
            </w:r>
          </w:p>
        </w:tc>
        <w:tc>
          <w:tcPr>
            <w:tcW w:type="dxa" w:w="2160"/>
          </w:tcPr>
          <w:p>
            <w:pPr>
              <w:spacing w:after="40"/>
            </w:pPr>
            <w:r>
              <w:t>Procurement Head, with Sales for clients</w:t>
            </w:r>
          </w:p>
        </w:tc>
        <w:tc>
          <w:tcPr>
            <w:tcW w:type="dxa" w:w="2160"/>
          </w:tcPr>
          <w:p>
            <w:pPr>
              <w:spacing w:after="40"/>
            </w:pPr>
            <w:r>
              <w:t>Every supplier, subcontractor and consultant we buy from or engage today, and every client with a live project or agreement: legal name, taxpayer identification number, address, accreditation state, insurance expiry and exclusions for subcontractors, bank details, categories supplied, currency</w:t>
            </w:r>
          </w:p>
        </w:tc>
        <w:tc>
          <w:tcPr>
            <w:tcW w:type="dxa" w:w="2160"/>
          </w:tcPr>
          <w:p>
            <w:pPr>
              <w:spacing w:after="40"/>
            </w:pPr>
            <w:r>
              <w:t>10 September</w:t>
            </w:r>
          </w:p>
        </w:tc>
      </w:tr>
      <w:tr>
        <w:tc>
          <w:tcPr>
            <w:tcW w:type="dxa" w:w="2160"/>
          </w:tcPr>
          <w:p>
            <w:pPr>
              <w:spacing w:after="40"/>
            </w:pPr>
            <w:r>
              <w:t>Accounts, Sites, Contacts</w:t>
            </w:r>
          </w:p>
        </w:tc>
        <w:tc>
          <w:tcPr>
            <w:tcW w:type="dxa" w:w="2160"/>
          </w:tcPr>
          <w:p>
            <w:pPr>
              <w:spacing w:after="40"/>
            </w:pPr>
            <w:r>
              <w:t>Sales, with the Project Managers for site details</w:t>
            </w:r>
          </w:p>
        </w:tc>
        <w:tc>
          <w:tcPr>
            <w:tcW w:type="dxa" w:w="2160"/>
          </w:tcPr>
          <w:p>
            <w:pPr>
              <w:spacing w:after="40"/>
            </w:pPr>
            <w:r>
              <w:t>One account per customer, one row per site with province, city or municipality, distribution utility and the emergency card details (nearest hospital, ambulance number, evacuation point, client contact)</w:t>
            </w:r>
          </w:p>
        </w:tc>
        <w:tc>
          <w:tcPr>
            <w:tcW w:type="dxa" w:w="2160"/>
          </w:tcPr>
          <w:p>
            <w:pPr>
              <w:spacing w:after="40"/>
            </w:pPr>
            <w:r>
              <w:t>12 September</w:t>
            </w:r>
          </w:p>
        </w:tc>
      </w:tr>
      <w:tr>
        <w:tc>
          <w:tcPr>
            <w:tcW w:type="dxa" w:w="2160"/>
          </w:tcPr>
          <w:p>
            <w:pPr>
              <w:spacing w:after="40"/>
            </w:pPr>
            <w:r>
              <w:t>Items</w:t>
            </w:r>
          </w:p>
        </w:tc>
        <w:tc>
          <w:tcPr>
            <w:tcW w:type="dxa" w:w="2160"/>
          </w:tcPr>
          <w:p>
            <w:pPr>
              <w:spacing w:after="40"/>
            </w:pPr>
            <w:r>
              <w:t>Procurement Head</w:t>
            </w:r>
          </w:p>
        </w:tc>
        <w:tc>
          <w:tcPr>
            <w:tcW w:type="dxa" w:w="2160"/>
          </w:tcPr>
          <w:p>
            <w:pPr>
              <w:spacing w:after="40"/>
            </w:pPr>
            <w:r>
              <w:t>The item catalogue we actually buy: code, description, specification, unit of measure, whether serialised, category. Reorder points only for operations and maintenance spares</w:t>
            </w:r>
          </w:p>
        </w:tc>
        <w:tc>
          <w:tcPr>
            <w:tcW w:type="dxa" w:w="2160"/>
          </w:tcPr>
          <w:p>
            <w:pPr>
              <w:spacing w:after="40"/>
            </w:pPr>
            <w:r>
              <w:t>12 September</w:t>
            </w:r>
          </w:p>
        </w:tc>
      </w:tr>
      <w:tr>
        <w:tc>
          <w:tcPr>
            <w:tcW w:type="dxa" w:w="2160"/>
          </w:tcPr>
          <w:p>
            <w:pPr>
              <w:spacing w:after="40"/>
            </w:pPr>
            <w:r>
              <w:t>Equipment</w:t>
            </w:r>
          </w:p>
        </w:tc>
        <w:tc>
          <w:tcPr>
            <w:tcW w:type="dxa" w:w="2160"/>
          </w:tcPr>
          <w:p>
            <w:pPr>
              <w:spacing w:after="40"/>
            </w:pPr>
            <w:r>
              <w:t>Warehouse Lead</w:t>
            </w:r>
          </w:p>
        </w:tc>
        <w:tc>
          <w:tcPr>
            <w:tcW w:type="dxa" w:w="2160"/>
          </w:tcPr>
          <w:p>
            <w:pPr>
              <w:spacing w:after="40"/>
            </w:pPr>
            <w:r>
              <w:t>Every tool and piece of equipment with a serial number: description, serial, named custodian, certification expiry for lifting gear and harnesses, maintenance due</w:t>
            </w:r>
          </w:p>
        </w:tc>
        <w:tc>
          <w:tcPr>
            <w:tcW w:type="dxa" w:w="2160"/>
          </w:tcPr>
          <w:p>
            <w:pPr>
              <w:spacing w:after="40"/>
            </w:pPr>
            <w:r>
              <w:t>12 September</w:t>
            </w:r>
          </w:p>
        </w:tc>
      </w:tr>
      <w:tr>
        <w:tc>
          <w:tcPr>
            <w:tcW w:type="dxa" w:w="2160"/>
          </w:tcPr>
          <w:p>
            <w:pPr>
              <w:spacing w:after="40"/>
            </w:pPr>
            <w:r>
              <w:t>Locations</w:t>
            </w:r>
          </w:p>
        </w:tc>
        <w:tc>
          <w:tcPr>
            <w:tcW w:type="dxa" w:w="2160"/>
          </w:tcPr>
          <w:p>
            <w:pPr>
              <w:spacing w:after="40"/>
            </w:pPr>
            <w:r>
              <w:t>Warehouse Lead</w:t>
            </w:r>
          </w:p>
        </w:tc>
        <w:tc>
          <w:tcPr>
            <w:tcW w:type="dxa" w:w="2160"/>
          </w:tcPr>
          <w:p>
            <w:pPr>
              <w:spacing w:after="40"/>
            </w:pPr>
            <w:r>
              <w:t>The three warehouses and any site store currently holding stock, each with its custodian</w:t>
            </w:r>
          </w:p>
        </w:tc>
        <w:tc>
          <w:tcPr>
            <w:tcW w:type="dxa" w:w="2160"/>
          </w:tcPr>
          <w:p>
            <w:pPr>
              <w:spacing w:after="40"/>
            </w:pPr>
            <w:r>
              <w:t>10 September</w:t>
            </w:r>
          </w:p>
        </w:tc>
      </w:tr>
      <w:tr>
        <w:tc>
          <w:tcPr>
            <w:tcW w:type="dxa" w:w="2160"/>
          </w:tcPr>
          <w:p>
            <w:pPr>
              <w:spacing w:after="40"/>
            </w:pPr>
            <w:r>
              <w:t>Opening Stock</w:t>
            </w:r>
          </w:p>
        </w:tc>
        <w:tc>
          <w:tcPr>
            <w:tcW w:type="dxa" w:w="2160"/>
          </w:tcPr>
          <w:p>
            <w:pPr>
              <w:spacing w:after="40"/>
            </w:pPr>
            <w:r>
              <w:t>Jay Ramos (Laguna), Bernie Cabrera (Sorsogon), Paul Dela Cruz (Dumaguete)</w:t>
            </w:r>
          </w:p>
        </w:tc>
        <w:tc>
          <w:tcPr>
            <w:tcW w:type="dxa" w:w="2160"/>
          </w:tcPr>
          <w:p>
            <w:pPr>
              <w:spacing w:after="40"/>
            </w:pPr>
            <w:r>
              <w:t>A physical count of every item on hand on an agreed count date, with serial numbers for serialised items and unit cost. Damaged or disputed stock is listed as quarantined, not omitted</w:t>
            </w:r>
          </w:p>
        </w:tc>
        <w:tc>
          <w:tcPr>
            <w:tcW w:type="dxa" w:w="2160"/>
          </w:tcPr>
          <w:p>
            <w:pPr>
              <w:spacing w:after="40"/>
            </w:pPr>
            <w:r>
              <w:t>Count dates to be set by Karl; sheets due two days after each count</w:t>
            </w:r>
          </w:p>
        </w:tc>
      </w:tr>
      <w:tr>
        <w:tc>
          <w:tcPr>
            <w:tcW w:type="dxa" w:w="2160"/>
          </w:tcPr>
          <w:p>
            <w:pPr>
              <w:spacing w:after="40"/>
            </w:pPr>
            <w:r>
              <w:t>Projects, Contracts, Project Parties</w:t>
            </w:r>
          </w:p>
        </w:tc>
        <w:tc>
          <w:tcPr>
            <w:tcW w:type="dxa" w:w="2160"/>
          </w:tcPr>
          <w:p>
            <w:pPr>
              <w:spacing w:after="40"/>
            </w:pPr>
            <w:r>
              <w:t>Project Managers, one per live project, reviewed by the Director</w:t>
            </w:r>
          </w:p>
        </w:tc>
        <w:tc>
          <w:tcPr>
            <w:tcW w:type="dxa" w:w="2160"/>
          </w:tcPr>
          <w:p>
            <w:pPr>
              <w:spacing w:after="40"/>
            </w:pPr>
            <w:r>
              <w:t>Project code, name, client, site, capacity, mount type, manager, director, person in charge, status today, whether mobilised, insurance certificate file, Construction Safety and Health Program approval file, permit dependency, the number of site workdays already elapsed and the first site day, the planned progress curve from the contract programme. Contract: the signed document file and its terms</w:t>
            </w:r>
          </w:p>
        </w:tc>
        <w:tc>
          <w:tcPr>
            <w:tcW w:type="dxa" w:w="2160"/>
          </w:tcPr>
          <w:p>
            <w:pPr>
              <w:spacing w:after="40"/>
            </w:pPr>
            <w:r>
              <w:t>15 September</w:t>
            </w:r>
          </w:p>
        </w:tc>
      </w:tr>
      <w:tr>
        <w:tc>
          <w:tcPr>
            <w:tcW w:type="dxa" w:w="2160"/>
          </w:tcPr>
          <w:p>
            <w:pPr>
              <w:spacing w:after="40"/>
            </w:pPr>
            <w:r>
              <w:t>Project Blocks, Bill of Materials</w:t>
            </w:r>
          </w:p>
        </w:tc>
        <w:tc>
          <w:tcPr>
            <w:tcW w:type="dxa" w:w="2160"/>
          </w:tcPr>
          <w:p>
            <w:pPr>
              <w:spacing w:after="40"/>
            </w:pPr>
            <w:r>
              <w:t>Project Managers with Design</w:t>
            </w:r>
          </w:p>
        </w:tc>
        <w:tc>
          <w:tcPr>
            <w:tcW w:type="dxa" w:w="2160"/>
          </w:tcPr>
          <w:p>
            <w:pPr>
              <w:spacing w:after="40"/>
            </w:pPr>
            <w:r>
              <w:t>Which of the fourteen blocks apply, block cost for materials and labour, state and percent complete today, sign-off date for B0 where done. The costed bill of materials by block</w:t>
            </w:r>
          </w:p>
        </w:tc>
        <w:tc>
          <w:tcPr>
            <w:tcW w:type="dxa" w:w="2160"/>
          </w:tcPr>
          <w:p>
            <w:pPr>
              <w:spacing w:after="40"/>
            </w:pPr>
            <w:r>
              <w:t>15 September</w:t>
            </w:r>
          </w:p>
        </w:tc>
      </w:tr>
      <w:tr>
        <w:tc>
          <w:tcPr>
            <w:tcW w:type="dxa" w:w="2160"/>
          </w:tcPr>
          <w:p>
            <w:pPr>
              <w:spacing w:after="40"/>
            </w:pPr>
            <w:r>
              <w:t>Open Purchase Orders</w:t>
            </w:r>
          </w:p>
        </w:tc>
        <w:tc>
          <w:tcPr>
            <w:tcW w:type="dxa" w:w="2160"/>
          </w:tcPr>
          <w:p>
            <w:pPr>
              <w:spacing w:after="40"/>
            </w:pPr>
            <w:r>
              <w:t>Procurement Head</w:t>
            </w:r>
          </w:p>
        </w:tc>
        <w:tc>
          <w:tcPr>
            <w:tcW w:type="dxa" w:w="2160"/>
          </w:tcPr>
          <w:p>
            <w:pPr>
              <w:spacing w:after="40"/>
            </w:pPr>
            <w:r>
              <w:t>Every order issued or partially received today, with supplier, currency, exchange rate and date where not peso, lines, who approved it and when, expected arrival</w:t>
            </w:r>
          </w:p>
        </w:tc>
        <w:tc>
          <w:tcPr>
            <w:tcW w:type="dxa" w:w="2160"/>
          </w:tcPr>
          <w:p>
            <w:pPr>
              <w:spacing w:after="40"/>
            </w:pPr>
            <w:r>
              <w:t>12 September</w:t>
            </w:r>
          </w:p>
        </w:tc>
      </w:tr>
      <w:tr>
        <w:tc>
          <w:tcPr>
            <w:tcW w:type="dxa" w:w="2160"/>
          </w:tcPr>
          <w:p>
            <w:pPr>
              <w:spacing w:after="40"/>
            </w:pPr>
            <w:r>
              <w:t>Project Permits</w:t>
            </w:r>
          </w:p>
        </w:tc>
        <w:tc>
          <w:tcPr>
            <w:tcW w:type="dxa" w:w="2160"/>
          </w:tcPr>
          <w:p>
            <w:pPr>
              <w:spacing w:after="40"/>
            </w:pPr>
            <w:r>
              <w:t>Permit liaison per project</w:t>
            </w:r>
          </w:p>
        </w:tc>
        <w:tc>
          <w:tcPr>
            <w:tcW w:type="dxa" w:w="2160"/>
          </w:tcPr>
          <w:p>
            <w:pPr>
              <w:spacing w:after="40"/>
            </w:pPr>
            <w:r>
              <w:t>Every permit filed or pending on a live project: type, issuing office, responsible person, whether it is a prerequisite to mobilise, date filed, expected approval date, approval and expiry dates where known</w:t>
            </w:r>
          </w:p>
        </w:tc>
        <w:tc>
          <w:tcPr>
            <w:tcW w:type="dxa" w:w="2160"/>
          </w:tcPr>
          <w:p>
            <w:pPr>
              <w:spacing w:after="40"/>
            </w:pPr>
            <w:r>
              <w:t>15 September</w:t>
            </w:r>
          </w:p>
        </w:tc>
      </w:tr>
      <w:tr>
        <w:tc>
          <w:tcPr>
            <w:tcW w:type="dxa" w:w="2160"/>
          </w:tcPr>
          <w:p>
            <w:pPr>
              <w:spacing w:after="40"/>
            </w:pPr>
            <w:r>
              <w:t>Billing Milestones</w:t>
            </w:r>
          </w:p>
        </w:tc>
        <w:tc>
          <w:tcPr>
            <w:tcW w:type="dxa" w:w="2160"/>
          </w:tcPr>
          <w:p>
            <w:pPr>
              <w:spacing w:after="40"/>
            </w:pPr>
            <w:r>
              <w:t>Finance</w:t>
            </w:r>
          </w:p>
        </w:tc>
        <w:tc>
          <w:tcPr>
            <w:tcW w:type="dxa" w:w="2160"/>
          </w:tcPr>
          <w:p>
            <w:pPr>
              <w:spacing w:after="40"/>
            </w:pPr>
            <w:r>
              <w:t>Per live project: each milestone, its basis and amount, state today, claimed and certified amounts, invoice references, paid dates</w:t>
            </w:r>
          </w:p>
        </w:tc>
        <w:tc>
          <w:tcPr>
            <w:tcW w:type="dxa" w:w="2160"/>
          </w:tcPr>
          <w:p>
            <w:pPr>
              <w:spacing w:after="40"/>
            </w:pPr>
            <w:r>
              <w:t>15 September</w:t>
            </w:r>
          </w:p>
        </w:tc>
      </w:tr>
      <w:tr>
        <w:tc>
          <w:tcPr>
            <w:tcW w:type="dxa" w:w="2160"/>
          </w:tcPr>
          <w:p>
            <w:pPr>
              <w:spacing w:after="40"/>
            </w:pPr>
            <w:r>
              <w:t>Service Agreements, Service Level Terms, Serviced Assets, Asset Equipment, Maintenance Plans, Open Work Orders, Open Warranty Claims</w:t>
            </w:r>
          </w:p>
        </w:tc>
        <w:tc>
          <w:tcPr>
            <w:tcW w:type="dxa" w:w="2160"/>
          </w:tcPr>
          <w:p>
            <w:pPr>
              <w:spacing w:after="40"/>
            </w:pPr>
            <w:r>
              <w:t>Operations and Maintenance lead</w:t>
            </w:r>
          </w:p>
        </w:tc>
        <w:tc>
          <w:tcPr>
            <w:tcW w:type="dxa" w:w="2160"/>
          </w:tcPr>
          <w:p>
            <w:pPr>
              <w:spacing w:after="40"/>
            </w:pPr>
            <w:r>
              <w:t>Every agreement in force with its signed document, commencement, term, charges; one row per severity level with response and restoration hours; the assets served with capacity, commissioning date, tariff; the inverters and panels on each; the maintenance plan and next due dates; open work orders and open warranty claims</w:t>
            </w:r>
          </w:p>
        </w:tc>
        <w:tc>
          <w:tcPr>
            <w:tcW w:type="dxa" w:w="2160"/>
          </w:tcPr>
          <w:p>
            <w:pPr>
              <w:spacing w:after="40"/>
            </w:pPr>
            <w:r>
              <w:t>17 September</w:t>
            </w:r>
          </w:p>
        </w:tc>
      </w:tr>
      <w:tr>
        <w:tc>
          <w:tcPr>
            <w:tcW w:type="dxa" w:w="2160"/>
          </w:tcPr>
          <w:p>
            <w:pPr>
              <w:spacing w:after="40"/>
            </w:pPr>
            <w:r>
              <w:t>Documents (a list in your folder, not a workbook sheet)</w:t>
            </w:r>
          </w:p>
        </w:tc>
        <w:tc>
          <w:tcPr>
            <w:tcW w:type="dxa" w:w="2160"/>
          </w:tcPr>
          <w:p>
            <w:pPr>
              <w:spacing w:after="40"/>
            </w:pPr>
            <w:r>
              <w:t>Cristy Villanueva</w:t>
            </w:r>
          </w:p>
        </w:tc>
        <w:tc>
          <w:tcPr>
            <w:tcW w:type="dxa" w:w="2160"/>
          </w:tcPr>
          <w:p>
            <w:pPr>
              <w:spacing w:after="40"/>
            </w:pPr>
            <w:r>
              <w:t>For each live project, the list of drawings, specifications and forms that govern work today, with their current revision, and a list of anything that cannot be classified with the reason</w:t>
            </w:r>
          </w:p>
        </w:tc>
        <w:tc>
          <w:tcPr>
            <w:tcW w:type="dxa" w:w="2160"/>
          </w:tcPr>
          <w:p>
            <w:pPr>
              <w:spacing w:after="40"/>
            </w:pPr>
            <w:r>
              <w:t>17 September</w:t>
            </w:r>
          </w:p>
        </w:tc>
      </w:tr>
    </w:tbl>
    <w:p/>
    <w:p>
      <w:r>
        <w:t>If a sheet has no owner in your department, ignore it. If you own a sheet and a column does not apply to Magnus, leave it empty and say so on the README sheet.</w:t>
      </w:r>
    </w:p>
    <w:p>
      <w:pPr>
        <w:pStyle w:val="Heading1"/>
      </w:pPr>
      <w:r>
        <w:rPr>
          <w:color w:val="C24A0C"/>
        </w:rPr>
        <w:t>5. Documents to place in your Drive folder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rPr>
              <w:t>Document</w:t>
            </w:r>
          </w:p>
        </w:tc>
        <w:tc>
          <w:tcPr>
            <w:tcW w:type="dxa" w:w="2880"/>
          </w:tcPr>
          <w:p>
            <w:pPr>
              <w:spacing w:after="40"/>
            </w:pPr>
            <w:r>
              <w:rPr>
                <w:b/>
              </w:rPr>
              <w:t>Owner</w:t>
            </w:r>
          </w:p>
        </w:tc>
        <w:tc>
          <w:tcPr>
            <w:tcW w:type="dxa" w:w="2880"/>
          </w:tcPr>
          <w:p>
            <w:pPr>
              <w:spacing w:after="40"/>
            </w:pPr>
            <w:r>
              <w:rPr>
                <w:b/>
              </w:rPr>
              <w:t>Required for</w:t>
            </w:r>
          </w:p>
        </w:tc>
      </w:tr>
      <w:tr>
        <w:tc>
          <w:tcPr>
            <w:tcW w:type="dxa" w:w="2880"/>
          </w:tcPr>
          <w:p>
            <w:pPr>
              <w:spacing w:after="40"/>
            </w:pPr>
            <w:r>
              <w:t>Signed contract for every live project</w:t>
            </w:r>
          </w:p>
        </w:tc>
        <w:tc>
          <w:tcPr>
            <w:tcW w:type="dxa" w:w="2880"/>
          </w:tcPr>
          <w:p>
            <w:pPr>
              <w:spacing w:after="40"/>
            </w:pPr>
            <w:r>
              <w:t>Project Managers</w:t>
            </w:r>
          </w:p>
        </w:tc>
        <w:tc>
          <w:tcPr>
            <w:tcW w:type="dxa" w:w="2880"/>
          </w:tcPr>
          <w:p>
            <w:pPr>
              <w:spacing w:after="40"/>
            </w:pPr>
            <w:r>
              <w:t>The project cannot become active without it</w:t>
            </w:r>
          </w:p>
        </w:tc>
      </w:tr>
      <w:tr>
        <w:tc>
          <w:tcPr>
            <w:tcW w:type="dxa" w:w="2880"/>
          </w:tcPr>
          <w:p>
            <w:pPr>
              <w:spacing w:after="40"/>
            </w:pPr>
            <w:r>
              <w:t>Insurance certificate for every mobilised project above ₱2,000,000</w:t>
            </w:r>
          </w:p>
        </w:tc>
        <w:tc>
          <w:tcPr>
            <w:tcW w:type="dxa" w:w="2880"/>
          </w:tcPr>
          <w:p>
            <w:pPr>
              <w:spacing w:after="40"/>
            </w:pPr>
            <w:r>
              <w:t>Project Managers</w:t>
            </w:r>
          </w:p>
        </w:tc>
        <w:tc>
          <w:tcPr>
            <w:tcW w:type="dxa" w:w="2880"/>
          </w:tcPr>
          <w:p>
            <w:pPr>
              <w:spacing w:after="40"/>
            </w:pPr>
            <w:r>
              <w:t>Mobilisation</w:t>
            </w:r>
          </w:p>
        </w:tc>
      </w:tr>
      <w:tr>
        <w:tc>
          <w:tcPr>
            <w:tcW w:type="dxa" w:w="2880"/>
          </w:tcPr>
          <w:p>
            <w:pPr>
              <w:spacing w:after="40"/>
            </w:pPr>
            <w:r>
              <w:t>Department of Labor and Employment approved Construction Safety and Health Program for every project under construction</w:t>
            </w:r>
          </w:p>
        </w:tc>
        <w:tc>
          <w:tcPr>
            <w:tcW w:type="dxa" w:w="2880"/>
          </w:tcPr>
          <w:p>
            <w:pPr>
              <w:spacing w:after="40"/>
            </w:pPr>
            <w:r>
              <w:t>Safety Officer</w:t>
            </w:r>
          </w:p>
        </w:tc>
        <w:tc>
          <w:tcPr>
            <w:tcW w:type="dxa" w:w="2880"/>
          </w:tcPr>
          <w:p>
            <w:pPr>
              <w:spacing w:after="40"/>
            </w:pPr>
            <w:r>
              <w:t>Start of construction</w:t>
            </w:r>
          </w:p>
        </w:tc>
      </w:tr>
      <w:tr>
        <w:tc>
          <w:tcPr>
            <w:tcW w:type="dxa" w:w="2880"/>
          </w:tcPr>
          <w:p>
            <w:pPr>
              <w:spacing w:after="40"/>
            </w:pPr>
            <w:r>
              <w:t>Signed operations and maintenance agreement for every agreement in force</w:t>
            </w:r>
          </w:p>
        </w:tc>
        <w:tc>
          <w:tcPr>
            <w:tcW w:type="dxa" w:w="2880"/>
          </w:tcPr>
          <w:p>
            <w:pPr>
              <w:spacing w:after="40"/>
            </w:pPr>
            <w:r>
              <w:t>Operations and Maintenance lead</w:t>
            </w:r>
          </w:p>
        </w:tc>
        <w:tc>
          <w:tcPr>
            <w:tcW w:type="dxa" w:w="2880"/>
          </w:tcPr>
          <w:p>
            <w:pPr>
              <w:spacing w:after="40"/>
            </w:pPr>
            <w:r>
              <w:t>The agreement cannot be active or billed without it</w:t>
            </w:r>
          </w:p>
        </w:tc>
      </w:tr>
      <w:tr>
        <w:tc>
          <w:tcPr>
            <w:tcW w:type="dxa" w:w="2880"/>
          </w:tcPr>
          <w:p>
            <w:pPr>
              <w:spacing w:after="40"/>
            </w:pPr>
            <w:r>
              <w:t>Supplier and subcontractor insurance certificates</w:t>
            </w:r>
          </w:p>
        </w:tc>
        <w:tc>
          <w:tcPr>
            <w:tcW w:type="dxa" w:w="2880"/>
          </w:tcPr>
          <w:p>
            <w:pPr>
              <w:spacing w:after="40"/>
            </w:pPr>
            <w:r>
              <w:t>Procurement Head</w:t>
            </w:r>
          </w:p>
        </w:tc>
        <w:tc>
          <w:tcPr>
            <w:tcW w:type="dxa" w:w="2880"/>
          </w:tcPr>
          <w:p>
            <w:pPr>
              <w:spacing w:after="40"/>
            </w:pPr>
            <w:r>
              <w:t>Accreditation</w:t>
            </w:r>
          </w:p>
        </w:tc>
      </w:tr>
      <w:tr>
        <w:tc>
          <w:tcPr>
            <w:tcW w:type="dxa" w:w="2880"/>
          </w:tcPr>
          <w:p>
            <w:pPr>
              <w:spacing w:after="40"/>
            </w:pPr>
            <w:r>
              <w:t>Permit filings and approvals on hand</w:t>
            </w:r>
          </w:p>
        </w:tc>
        <w:tc>
          <w:tcPr>
            <w:tcW w:type="dxa" w:w="2880"/>
          </w:tcPr>
          <w:p>
            <w:pPr>
              <w:spacing w:after="40"/>
            </w:pPr>
            <w:r>
              <w:t>Permit liaison</w:t>
            </w:r>
          </w:p>
        </w:tc>
        <w:tc>
          <w:tcPr>
            <w:tcW w:type="dxa" w:w="2880"/>
          </w:tcPr>
          <w:p>
            <w:pPr>
              <w:spacing w:after="40"/>
            </w:pPr>
            <w:r>
              <w:t>Permit records</w:t>
            </w:r>
          </w:p>
        </w:tc>
      </w:tr>
      <w:tr>
        <w:tc>
          <w:tcPr>
            <w:tcW w:type="dxa" w:w="2880"/>
          </w:tcPr>
          <w:p>
            <w:pPr>
              <w:spacing w:after="40"/>
            </w:pPr>
            <w:r>
              <w:t>Delivery receipts for open purchase orders partially received</w:t>
            </w:r>
          </w:p>
        </w:tc>
        <w:tc>
          <w:tcPr>
            <w:tcW w:type="dxa" w:w="2880"/>
          </w:tcPr>
          <w:p>
            <w:pPr>
              <w:spacing w:after="40"/>
            </w:pPr>
            <w:r>
              <w:t>Warehouse custodians</w:t>
            </w:r>
          </w:p>
        </w:tc>
        <w:tc>
          <w:tcPr>
            <w:tcW w:type="dxa" w:w="2880"/>
          </w:tcPr>
          <w:p>
            <w:pPr>
              <w:spacing w:after="40"/>
            </w:pPr>
            <w:r>
              <w:t>Goods receipts</w:t>
            </w:r>
          </w:p>
        </w:tc>
      </w:tr>
    </w:tbl>
    <w:p/>
    <w:p>
      <w:r>
        <w:t>Name each file exactly as written in the workbook column that refers to it. Portable document format is preferred; a clear photograph of a signed page is acceptable where no scan exists.</w:t>
      </w:r>
    </w:p>
    <w:p>
      <w:pPr>
        <w:pStyle w:val="Heading1"/>
      </w:pPr>
      <w:r>
        <w:rPr>
          <w:color w:val="C24A0C"/>
        </w:rPr>
        <w:t>6. Check your sheet before you submit</w:t>
      </w:r>
    </w:p>
    <w:p>
      <w:pPr>
        <w:pStyle w:val="ListNumber"/>
      </w:pPr>
      <w:r>
        <w:t>Every required (yellow) column is filled on every row.</w:t>
      </w:r>
    </w:p>
    <w:p>
      <w:pPr>
        <w:pStyle w:val="ListNumber"/>
      </w:pPr>
      <w:r>
        <w:t>Every name that links to another sheet is spelled exactly as it appears there.</w:t>
      </w:r>
    </w:p>
    <w:p>
      <w:pPr>
        <w:pStyle w:val="ListNumber"/>
      </w:pPr>
      <w:r>
        <w:t>No example row remains.</w:t>
      </w:r>
    </w:p>
    <w:p>
      <w:pPr>
        <w:pStyle w:val="ListNumber"/>
      </w:pPr>
      <w:r>
        <w:t>Every file name in a file column exists in your folder with that exact name.</w:t>
      </w:r>
    </w:p>
    <w:p>
      <w:pPr>
        <w:pStyle w:val="ListNumber"/>
      </w:pPr>
      <w:r>
        <w:t>Persons: no one appears twice; every alias spelling is listed.</w:t>
      </w:r>
    </w:p>
    <w:p>
      <w:pPr>
        <w:pStyle w:val="ListNumber"/>
      </w:pPr>
      <w:r>
        <w:t>Opening stock: the count is what you counted, not what the stock card says.</w:t>
      </w:r>
    </w:p>
    <w:p>
      <w:pPr>
        <w:pStyle w:val="ListNumber"/>
      </w:pPr>
      <w:r>
        <w:t>Projects: the workday counter and first site day are filled. Without them every migrated project will look as if it started on cutover day.</w:t>
      </w:r>
    </w:p>
    <w:p>
      <w:pPr>
        <w:pStyle w:val="ListNumber"/>
      </w:pPr>
      <w:r>
        <w:t>You have written the count of rows you filled on the README sheet against your sheet name.</w:t>
      </w:r>
    </w:p>
    <w:p>
      <w:pPr>
        <w:pStyle w:val="Heading1"/>
      </w:pPr>
      <w:r>
        <w:rPr>
          <w:color w:val="C24A0C"/>
        </w:rPr>
        <w:t>7. What happens next</w:t>
      </w:r>
    </w:p>
    <w:p>
      <w:pPr>
        <w:pStyle w:val="ListNumber"/>
      </w:pPr>
      <w:r>
        <w:t>Your sheets and documents are validated. You will get back a short list of refused rows with the reason, if any. Fix and resubmit.</w:t>
      </w:r>
    </w:p>
    <w:p>
      <w:pPr>
        <w:pStyle w:val="ListNumber"/>
      </w:pPr>
      <w:r>
        <w:t>Records are loaded in batches, one sheet at a time, in the order printed on the README sheet. Each batch is checked on screen. A wrong batch is reversed and reloaded; this is expected and costs nothing.</w:t>
      </w:r>
    </w:p>
    <w:p>
      <w:pPr>
        <w:pStyle w:val="ListNumber"/>
      </w:pPr>
      <w:r>
        <w:t>The three warehouse custodians count, Cristy spot-checks, and the opening stock is locked per warehouse. After the lock, stock changes only by receipts, issues, transfers and counted adjustments.</w:t>
      </w:r>
    </w:p>
    <w:p>
      <w:pPr>
        <w:pStyle w:val="ListNumber"/>
      </w:pPr>
      <w:r>
        <w:t>On the cutover date, the old spreadsheets and folders are made read-only. Not deleted: read-only, so they can still be checked. The Messenger project groups are renamed and made read-only one project at a time.</w:t>
      </w:r>
    </w:p>
    <w:p>
      <w:pPr>
        <w:pStyle w:val="ListNumber"/>
      </w:pPr>
      <w:r>
        <w:t>Training follows by role. The Person In Charge training is the longest and happens on site, on your own phone, including how the app behaves with no signal.</w:t>
      </w:r>
    </w:p>
    <w:p>
      <w:pPr>
        <w:pStyle w:val="Heading1"/>
      </w:pPr>
      <w:r>
        <w:rPr>
          <w:color w:val="C24A0C"/>
        </w:rPr>
        <w:t>8. What not to do</w:t>
      </w:r>
    </w:p>
    <w:p>
      <w:pPr>
        <w:pStyle w:val="ListBullet"/>
      </w:pPr>
      <w:r>
        <w:t>Do not clean up or reorganise the old spreadsheets first. Give them as they are; the assistant reconciles.</w:t>
      </w:r>
    </w:p>
    <w:p>
      <w:pPr>
        <w:pStyle w:val="ListBullet"/>
      </w:pPr>
      <w:r>
        <w:t>Do not create new codes or numbers for the platform. Use the codes you use today; the platform keeps them as your reference.</w:t>
      </w:r>
    </w:p>
    <w:p>
      <w:pPr>
        <w:pStyle w:val="ListBullet"/>
      </w:pPr>
      <w:r>
        <w:t>Do not send anything by private message or email. Everything goes in the Drive folder so nothing is lost.</w:t>
      </w:r>
    </w:p>
    <w:p>
      <w:pPr>
        <w:pStyle w:val="ListBullet"/>
      </w:pPr>
      <w:r>
        <w:t>Do not wait until the deadline to ask a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