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7AF" w:rsidRDefault="00527258" w:rsidP="000F2309">
      <w:pPr>
        <w:tabs>
          <w:tab w:val="right" w:pos="9360"/>
        </w:tabs>
        <w:spacing w:line="240" w:lineRule="atLeast"/>
        <w:ind w:left="2520" w:hanging="2700"/>
      </w:pPr>
      <w:r>
        <w:rPr>
          <w:noProof/>
        </w:rPr>
        <w:drawing>
          <wp:inline distT="0" distB="0" distL="0" distR="0">
            <wp:extent cx="1257300" cy="685800"/>
            <wp:effectExtent l="0" t="0" r="0" b="0"/>
            <wp:docPr id="1" name="Picture 1" descr="BNY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NYM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ln>
                      <a:noFill/>
                    </a:ln>
                  </pic:spPr>
                </pic:pic>
              </a:graphicData>
            </a:graphic>
          </wp:inline>
        </w:drawing>
      </w:r>
      <w:r w:rsidR="00DF524C">
        <w:tab/>
      </w:r>
      <w:r w:rsidR="00DF524C">
        <w:tab/>
      </w:r>
    </w:p>
    <w:p w:rsidR="000F2309" w:rsidRDefault="000F2309" w:rsidP="000F2309">
      <w:pPr>
        <w:tabs>
          <w:tab w:val="right" w:pos="9360"/>
        </w:tabs>
        <w:spacing w:line="240" w:lineRule="atLeast"/>
        <w:ind w:left="2520" w:hanging="2700"/>
        <w:rPr>
          <w:rFonts w:ascii="Arial" w:hAnsi="Arial" w:cs="Arial"/>
          <w:color w:val="808080"/>
          <w:sz w:val="20"/>
        </w:rPr>
      </w:pPr>
    </w:p>
    <w:p w:rsidR="00E547AF" w:rsidRDefault="00E547AF" w:rsidP="00AE08D3">
      <w:pPr>
        <w:tabs>
          <w:tab w:val="left" w:pos="4238"/>
        </w:tabs>
        <w:kinsoku w:val="0"/>
        <w:spacing w:after="480" w:line="480" w:lineRule="atLeast"/>
        <w:rPr>
          <w:rFonts w:ascii="Arial" w:hAnsi="Arial" w:cs="Arial"/>
          <w:color w:val="808080"/>
          <w:sz w:val="40"/>
          <w:szCs w:val="40"/>
        </w:rPr>
      </w:pPr>
      <w:r>
        <w:rPr>
          <w:rFonts w:ascii="Arial" w:hAnsi="Arial" w:cs="Arial"/>
          <w:color w:val="808080"/>
          <w:sz w:val="40"/>
          <w:szCs w:val="40"/>
        </w:rPr>
        <w:t xml:space="preserve">Liquidity </w:t>
      </w:r>
      <w:r w:rsidR="00832F17">
        <w:rPr>
          <w:rFonts w:ascii="Arial" w:hAnsi="Arial" w:cs="Arial"/>
          <w:color w:val="808080"/>
          <w:sz w:val="40"/>
          <w:szCs w:val="40"/>
        </w:rPr>
        <w:t xml:space="preserve">Stress Test </w:t>
      </w:r>
      <w:r>
        <w:rPr>
          <w:rFonts w:ascii="Arial" w:hAnsi="Arial" w:cs="Arial"/>
          <w:color w:val="808080"/>
          <w:sz w:val="40"/>
          <w:szCs w:val="40"/>
        </w:rPr>
        <w:t>Policy</w:t>
      </w:r>
    </w:p>
    <w:p w:rsidR="00E547AF" w:rsidRDefault="00E547AF">
      <w:pPr>
        <w:autoSpaceDE w:val="0"/>
        <w:ind w:left="-547"/>
        <w:jc w:val="center"/>
        <w:rPr>
          <w:rFonts w:ascii="Arial" w:hAnsi="Arial"/>
          <w:sz w:val="22"/>
          <w:szCs w:val="24"/>
          <w:u w:val="single"/>
        </w:rPr>
      </w:pPr>
      <w:r>
        <w:rPr>
          <w:rFonts w:ascii="Arial" w:hAnsi="Arial"/>
          <w:szCs w:val="24"/>
          <w:u w:val="single"/>
        </w:rPr>
        <w:t>Table of Contents</w:t>
      </w:r>
    </w:p>
    <w:p w:rsidR="00E547AF" w:rsidRDefault="00E547AF">
      <w:pPr>
        <w:autoSpaceDE w:val="0"/>
        <w:ind w:left="-547"/>
        <w:jc w:val="center"/>
        <w:rPr>
          <w:rFonts w:ascii="Arial" w:hAnsi="Arial" w:cs="Arial"/>
          <w:i/>
          <w:sz w:val="20"/>
          <w:u w:val="single"/>
        </w:rPr>
      </w:pPr>
      <w:r>
        <w:rPr>
          <w:rFonts w:ascii="Arial" w:hAnsi="Arial" w:cs="Arial"/>
          <w:i/>
          <w:sz w:val="20"/>
        </w:rPr>
        <w:t>(click on a section heading to view the section)</w:t>
      </w:r>
    </w:p>
    <w:bookmarkStart w:id="0" w:name="_Overall_Policy_Statement"/>
    <w:bookmarkEnd w:id="0"/>
    <w:p w:rsidR="0061521A" w:rsidRDefault="00E547AF">
      <w:pPr>
        <w:pStyle w:val="TOC1"/>
        <w:rPr>
          <w:rFonts w:ascii="Calibri" w:hAnsi="Calibri" w:cs="Times New Roman"/>
          <w:szCs w:val="22"/>
        </w:rPr>
      </w:pPr>
      <w:r>
        <w:rPr>
          <w:bCs/>
          <w:sz w:val="2"/>
          <w:szCs w:val="2"/>
        </w:rPr>
        <w:fldChar w:fldCharType="begin"/>
      </w:r>
      <w:r>
        <w:rPr>
          <w:bCs/>
          <w:sz w:val="2"/>
          <w:szCs w:val="2"/>
        </w:rPr>
        <w:instrText xml:space="preserve"> TOC \o "1-3" \n \h \z \u </w:instrText>
      </w:r>
      <w:r>
        <w:rPr>
          <w:bCs/>
          <w:sz w:val="2"/>
          <w:szCs w:val="2"/>
        </w:rPr>
        <w:fldChar w:fldCharType="separate"/>
      </w:r>
      <w:hyperlink w:anchor="_Toc302482340" w:history="1">
        <w:r w:rsidR="0061521A" w:rsidRPr="0016323E">
          <w:rPr>
            <w:rStyle w:val="Hyperlink"/>
          </w:rPr>
          <w:t>I.</w:t>
        </w:r>
        <w:r w:rsidR="0061521A">
          <w:rPr>
            <w:rFonts w:ascii="Calibri" w:hAnsi="Calibri" w:cs="Times New Roman"/>
            <w:szCs w:val="22"/>
          </w:rPr>
          <w:tab/>
        </w:r>
        <w:r w:rsidR="0061521A" w:rsidRPr="0016323E">
          <w:rPr>
            <w:rStyle w:val="Hyperlink"/>
          </w:rPr>
          <w:t>Overall Policy Statement</w:t>
        </w:r>
      </w:hyperlink>
    </w:p>
    <w:p w:rsidR="0061521A" w:rsidRDefault="00FF6F94">
      <w:pPr>
        <w:pStyle w:val="TOC1"/>
        <w:rPr>
          <w:rFonts w:ascii="Calibri" w:hAnsi="Calibri" w:cs="Times New Roman"/>
          <w:szCs w:val="22"/>
        </w:rPr>
      </w:pPr>
      <w:hyperlink w:anchor="_Toc302482341" w:history="1">
        <w:r w:rsidR="0061521A" w:rsidRPr="0016323E">
          <w:rPr>
            <w:rStyle w:val="Hyperlink"/>
          </w:rPr>
          <w:t>II.</w:t>
        </w:r>
        <w:r w:rsidR="0061521A">
          <w:rPr>
            <w:rFonts w:ascii="Calibri" w:hAnsi="Calibri" w:cs="Times New Roman"/>
            <w:szCs w:val="22"/>
          </w:rPr>
          <w:tab/>
        </w:r>
        <w:r w:rsidR="0061521A" w:rsidRPr="0016323E">
          <w:rPr>
            <w:rStyle w:val="Hyperlink"/>
          </w:rPr>
          <w:t>Liquidity Stress Test Procedures</w:t>
        </w:r>
      </w:hyperlink>
    </w:p>
    <w:p w:rsidR="0061521A" w:rsidRDefault="00FF6F94">
      <w:pPr>
        <w:pStyle w:val="TOC2"/>
        <w:tabs>
          <w:tab w:val="left" w:pos="720"/>
          <w:tab w:val="right" w:leader="dot" w:pos="9350"/>
        </w:tabs>
        <w:rPr>
          <w:rFonts w:ascii="Calibri" w:hAnsi="Calibri"/>
          <w:noProof/>
          <w:sz w:val="22"/>
          <w:szCs w:val="22"/>
        </w:rPr>
      </w:pPr>
      <w:hyperlink w:anchor="_Toc302482342" w:history="1">
        <w:r w:rsidR="0061521A" w:rsidRPr="0016323E">
          <w:rPr>
            <w:rStyle w:val="Hyperlink"/>
            <w:rFonts w:cs="Arial"/>
            <w:noProof/>
          </w:rPr>
          <w:t>A.</w:t>
        </w:r>
        <w:r w:rsidR="0061521A">
          <w:rPr>
            <w:rFonts w:ascii="Calibri" w:hAnsi="Calibri"/>
            <w:noProof/>
            <w:sz w:val="22"/>
            <w:szCs w:val="22"/>
          </w:rPr>
          <w:tab/>
        </w:r>
        <w:r w:rsidR="0061521A" w:rsidRPr="0016323E">
          <w:rPr>
            <w:rStyle w:val="Hyperlink"/>
            <w:rFonts w:cs="Arial"/>
            <w:noProof/>
          </w:rPr>
          <w:t>Methodology</w:t>
        </w:r>
      </w:hyperlink>
    </w:p>
    <w:p w:rsidR="0061521A" w:rsidRDefault="00FF6F94">
      <w:pPr>
        <w:pStyle w:val="TOC2"/>
        <w:tabs>
          <w:tab w:val="left" w:pos="720"/>
          <w:tab w:val="right" w:leader="dot" w:pos="9350"/>
        </w:tabs>
        <w:rPr>
          <w:rFonts w:ascii="Calibri" w:hAnsi="Calibri"/>
          <w:noProof/>
          <w:sz w:val="22"/>
          <w:szCs w:val="22"/>
        </w:rPr>
      </w:pPr>
      <w:hyperlink w:anchor="_Toc302482343" w:history="1">
        <w:r w:rsidR="0061521A" w:rsidRPr="0016323E">
          <w:rPr>
            <w:rStyle w:val="Hyperlink"/>
            <w:rFonts w:cs="Arial"/>
            <w:noProof/>
          </w:rPr>
          <w:t>B.</w:t>
        </w:r>
        <w:r w:rsidR="0061521A">
          <w:rPr>
            <w:rFonts w:ascii="Calibri" w:hAnsi="Calibri"/>
            <w:noProof/>
            <w:sz w:val="22"/>
            <w:szCs w:val="22"/>
          </w:rPr>
          <w:tab/>
        </w:r>
        <w:r w:rsidR="0061521A" w:rsidRPr="0016323E">
          <w:rPr>
            <w:rStyle w:val="Hyperlink"/>
            <w:rFonts w:cs="Arial"/>
            <w:noProof/>
          </w:rPr>
          <w:t>Scope</w:t>
        </w:r>
      </w:hyperlink>
    </w:p>
    <w:p w:rsidR="0061521A" w:rsidRDefault="00FF6F94">
      <w:pPr>
        <w:pStyle w:val="TOC2"/>
        <w:tabs>
          <w:tab w:val="left" w:pos="720"/>
          <w:tab w:val="right" w:leader="dot" w:pos="9350"/>
        </w:tabs>
        <w:rPr>
          <w:rFonts w:ascii="Calibri" w:hAnsi="Calibri"/>
          <w:noProof/>
          <w:sz w:val="22"/>
          <w:szCs w:val="22"/>
        </w:rPr>
      </w:pPr>
      <w:hyperlink w:anchor="_Toc302482344" w:history="1">
        <w:r w:rsidR="0061521A" w:rsidRPr="0016323E">
          <w:rPr>
            <w:rStyle w:val="Hyperlink"/>
            <w:rFonts w:cs="Arial"/>
            <w:noProof/>
          </w:rPr>
          <w:t>C.</w:t>
        </w:r>
        <w:r w:rsidR="0061521A">
          <w:rPr>
            <w:rFonts w:ascii="Calibri" w:hAnsi="Calibri"/>
            <w:noProof/>
            <w:sz w:val="22"/>
            <w:szCs w:val="22"/>
          </w:rPr>
          <w:tab/>
        </w:r>
        <w:r w:rsidR="0061521A" w:rsidRPr="0016323E">
          <w:rPr>
            <w:rStyle w:val="Hyperlink"/>
            <w:rFonts w:cs="Arial"/>
            <w:noProof/>
          </w:rPr>
          <w:t>Frequency</w:t>
        </w:r>
      </w:hyperlink>
    </w:p>
    <w:p w:rsidR="0061521A" w:rsidRDefault="00FF6F94">
      <w:pPr>
        <w:pStyle w:val="TOC2"/>
        <w:tabs>
          <w:tab w:val="left" w:pos="720"/>
          <w:tab w:val="right" w:leader="dot" w:pos="9350"/>
        </w:tabs>
        <w:rPr>
          <w:rFonts w:ascii="Calibri" w:hAnsi="Calibri"/>
          <w:noProof/>
          <w:sz w:val="22"/>
          <w:szCs w:val="22"/>
        </w:rPr>
      </w:pPr>
      <w:hyperlink w:anchor="_Toc302482345" w:history="1">
        <w:r w:rsidR="0061521A" w:rsidRPr="0016323E">
          <w:rPr>
            <w:rStyle w:val="Hyperlink"/>
            <w:rFonts w:cs="Arial"/>
            <w:noProof/>
          </w:rPr>
          <w:t>D.</w:t>
        </w:r>
        <w:r w:rsidR="0061521A">
          <w:rPr>
            <w:rFonts w:ascii="Calibri" w:hAnsi="Calibri"/>
            <w:noProof/>
            <w:sz w:val="22"/>
            <w:szCs w:val="22"/>
          </w:rPr>
          <w:tab/>
        </w:r>
        <w:r w:rsidR="0061521A" w:rsidRPr="0016323E">
          <w:rPr>
            <w:rStyle w:val="Hyperlink"/>
            <w:rFonts w:cs="Arial"/>
            <w:noProof/>
          </w:rPr>
          <w:t>Scenarios</w:t>
        </w:r>
      </w:hyperlink>
    </w:p>
    <w:p w:rsidR="0061521A" w:rsidRDefault="00FF6F94">
      <w:pPr>
        <w:pStyle w:val="TOC2"/>
        <w:tabs>
          <w:tab w:val="left" w:pos="720"/>
          <w:tab w:val="right" w:leader="dot" w:pos="9350"/>
        </w:tabs>
        <w:rPr>
          <w:rFonts w:ascii="Calibri" w:hAnsi="Calibri"/>
          <w:noProof/>
          <w:sz w:val="22"/>
          <w:szCs w:val="22"/>
        </w:rPr>
      </w:pPr>
      <w:hyperlink w:anchor="_Toc302482346" w:history="1">
        <w:r w:rsidR="0061521A" w:rsidRPr="0016323E">
          <w:rPr>
            <w:rStyle w:val="Hyperlink"/>
            <w:rFonts w:cs="Arial"/>
            <w:noProof/>
          </w:rPr>
          <w:t>E.</w:t>
        </w:r>
        <w:r w:rsidR="0061521A">
          <w:rPr>
            <w:rFonts w:ascii="Calibri" w:hAnsi="Calibri"/>
            <w:noProof/>
            <w:sz w:val="22"/>
            <w:szCs w:val="22"/>
          </w:rPr>
          <w:tab/>
        </w:r>
        <w:r w:rsidR="0061521A" w:rsidRPr="0016323E">
          <w:rPr>
            <w:rStyle w:val="Hyperlink"/>
            <w:rFonts w:cs="Arial"/>
            <w:noProof/>
          </w:rPr>
          <w:t>Assumptions</w:t>
        </w:r>
      </w:hyperlink>
    </w:p>
    <w:p w:rsidR="0061521A" w:rsidRDefault="00FF6F94">
      <w:pPr>
        <w:pStyle w:val="TOC2"/>
        <w:tabs>
          <w:tab w:val="left" w:pos="720"/>
          <w:tab w:val="right" w:leader="dot" w:pos="9350"/>
        </w:tabs>
        <w:rPr>
          <w:rFonts w:ascii="Calibri" w:hAnsi="Calibri"/>
          <w:noProof/>
          <w:sz w:val="22"/>
          <w:szCs w:val="22"/>
        </w:rPr>
      </w:pPr>
      <w:hyperlink w:anchor="_Toc302482347" w:history="1">
        <w:r w:rsidR="0061521A" w:rsidRPr="0016323E">
          <w:rPr>
            <w:rStyle w:val="Hyperlink"/>
            <w:rFonts w:cs="Arial"/>
            <w:noProof/>
          </w:rPr>
          <w:t>F.</w:t>
        </w:r>
        <w:r w:rsidR="0061521A">
          <w:rPr>
            <w:rFonts w:ascii="Calibri" w:hAnsi="Calibri"/>
            <w:noProof/>
            <w:sz w:val="22"/>
            <w:szCs w:val="22"/>
          </w:rPr>
          <w:tab/>
        </w:r>
        <w:r w:rsidR="0061521A" w:rsidRPr="0016323E">
          <w:rPr>
            <w:rStyle w:val="Hyperlink"/>
            <w:rFonts w:cs="Arial"/>
            <w:noProof/>
          </w:rPr>
          <w:t>Data Sources</w:t>
        </w:r>
      </w:hyperlink>
    </w:p>
    <w:p w:rsidR="0061521A" w:rsidRDefault="00FF6F94">
      <w:pPr>
        <w:pStyle w:val="TOC1"/>
        <w:rPr>
          <w:rFonts w:ascii="Calibri" w:hAnsi="Calibri" w:cs="Times New Roman"/>
          <w:szCs w:val="22"/>
        </w:rPr>
      </w:pPr>
      <w:hyperlink w:anchor="_Toc302482348" w:history="1">
        <w:r w:rsidR="0061521A" w:rsidRPr="0016323E">
          <w:rPr>
            <w:rStyle w:val="Hyperlink"/>
          </w:rPr>
          <w:t>III.</w:t>
        </w:r>
        <w:r w:rsidR="0061521A">
          <w:rPr>
            <w:rFonts w:ascii="Calibri" w:hAnsi="Calibri" w:cs="Times New Roman"/>
            <w:szCs w:val="22"/>
          </w:rPr>
          <w:tab/>
        </w:r>
        <w:r w:rsidR="0061521A" w:rsidRPr="0016323E">
          <w:rPr>
            <w:rStyle w:val="Hyperlink"/>
          </w:rPr>
          <w:t>Governance</w:t>
        </w:r>
      </w:hyperlink>
    </w:p>
    <w:p w:rsidR="0061521A" w:rsidRDefault="00FF6F94">
      <w:pPr>
        <w:pStyle w:val="TOC2"/>
        <w:tabs>
          <w:tab w:val="left" w:pos="720"/>
          <w:tab w:val="right" w:leader="dot" w:pos="9350"/>
        </w:tabs>
        <w:rPr>
          <w:rFonts w:ascii="Calibri" w:hAnsi="Calibri"/>
          <w:noProof/>
          <w:sz w:val="22"/>
          <w:szCs w:val="22"/>
        </w:rPr>
      </w:pPr>
      <w:hyperlink w:anchor="_Toc302482349" w:history="1">
        <w:r w:rsidR="0061521A" w:rsidRPr="0016323E">
          <w:rPr>
            <w:rStyle w:val="Hyperlink"/>
            <w:rFonts w:cs="Arial"/>
            <w:noProof/>
          </w:rPr>
          <w:t>A.</w:t>
        </w:r>
        <w:r w:rsidR="0061521A">
          <w:rPr>
            <w:rFonts w:ascii="Calibri" w:hAnsi="Calibri"/>
            <w:noProof/>
            <w:sz w:val="22"/>
            <w:szCs w:val="22"/>
          </w:rPr>
          <w:tab/>
        </w:r>
        <w:r w:rsidR="0061521A" w:rsidRPr="0016323E">
          <w:rPr>
            <w:rStyle w:val="Hyperlink"/>
            <w:rFonts w:cs="Arial"/>
            <w:noProof/>
          </w:rPr>
          <w:t>Ownership</w:t>
        </w:r>
      </w:hyperlink>
    </w:p>
    <w:p w:rsidR="0061521A" w:rsidRDefault="00FF6F94">
      <w:pPr>
        <w:pStyle w:val="TOC2"/>
        <w:tabs>
          <w:tab w:val="left" w:pos="720"/>
          <w:tab w:val="right" w:leader="dot" w:pos="9350"/>
        </w:tabs>
        <w:rPr>
          <w:rFonts w:ascii="Calibri" w:hAnsi="Calibri"/>
          <w:noProof/>
          <w:sz w:val="22"/>
          <w:szCs w:val="22"/>
        </w:rPr>
      </w:pPr>
      <w:hyperlink w:anchor="_Toc302482350" w:history="1">
        <w:r w:rsidR="0061521A" w:rsidRPr="0016323E">
          <w:rPr>
            <w:rStyle w:val="Hyperlink"/>
            <w:rFonts w:cs="Arial"/>
            <w:noProof/>
          </w:rPr>
          <w:t>B.</w:t>
        </w:r>
        <w:r w:rsidR="0061521A">
          <w:rPr>
            <w:rFonts w:ascii="Calibri" w:hAnsi="Calibri"/>
            <w:noProof/>
            <w:sz w:val="22"/>
            <w:szCs w:val="22"/>
          </w:rPr>
          <w:tab/>
        </w:r>
        <w:r w:rsidR="0061521A" w:rsidRPr="0016323E">
          <w:rPr>
            <w:rStyle w:val="Hyperlink"/>
            <w:rFonts w:cs="Arial"/>
            <w:noProof/>
          </w:rPr>
          <w:t>Reporting</w:t>
        </w:r>
      </w:hyperlink>
    </w:p>
    <w:p w:rsidR="0061521A" w:rsidRDefault="00FF6F94">
      <w:pPr>
        <w:pStyle w:val="TOC2"/>
        <w:tabs>
          <w:tab w:val="left" w:pos="720"/>
          <w:tab w:val="right" w:leader="dot" w:pos="9350"/>
        </w:tabs>
        <w:rPr>
          <w:rFonts w:ascii="Calibri" w:hAnsi="Calibri"/>
          <w:noProof/>
          <w:sz w:val="22"/>
          <w:szCs w:val="22"/>
        </w:rPr>
      </w:pPr>
      <w:hyperlink w:anchor="_Toc302482351" w:history="1">
        <w:r w:rsidR="0061521A" w:rsidRPr="0016323E">
          <w:rPr>
            <w:rStyle w:val="Hyperlink"/>
            <w:rFonts w:cs="Arial"/>
            <w:noProof/>
          </w:rPr>
          <w:t>C.</w:t>
        </w:r>
        <w:r w:rsidR="0061521A">
          <w:rPr>
            <w:rFonts w:ascii="Calibri" w:hAnsi="Calibri"/>
            <w:noProof/>
            <w:sz w:val="22"/>
            <w:szCs w:val="22"/>
          </w:rPr>
          <w:tab/>
        </w:r>
        <w:r w:rsidR="0061521A" w:rsidRPr="0016323E">
          <w:rPr>
            <w:rStyle w:val="Hyperlink"/>
            <w:rFonts w:cs="Arial"/>
            <w:noProof/>
          </w:rPr>
          <w:t>Independent Review</w:t>
        </w:r>
      </w:hyperlink>
    </w:p>
    <w:p w:rsidR="0061521A" w:rsidRDefault="00FF6F94">
      <w:pPr>
        <w:pStyle w:val="TOC2"/>
        <w:tabs>
          <w:tab w:val="left" w:pos="720"/>
          <w:tab w:val="right" w:leader="dot" w:pos="9350"/>
        </w:tabs>
        <w:rPr>
          <w:rFonts w:ascii="Calibri" w:hAnsi="Calibri"/>
          <w:noProof/>
          <w:sz w:val="22"/>
          <w:szCs w:val="22"/>
        </w:rPr>
      </w:pPr>
      <w:hyperlink w:anchor="_Toc302482352" w:history="1">
        <w:r w:rsidR="0061521A" w:rsidRPr="0016323E">
          <w:rPr>
            <w:rStyle w:val="Hyperlink"/>
            <w:rFonts w:cs="Arial"/>
            <w:noProof/>
          </w:rPr>
          <w:t>D.</w:t>
        </w:r>
        <w:r w:rsidR="0061521A">
          <w:rPr>
            <w:rFonts w:ascii="Calibri" w:hAnsi="Calibri"/>
            <w:noProof/>
            <w:sz w:val="22"/>
            <w:szCs w:val="22"/>
          </w:rPr>
          <w:tab/>
        </w:r>
        <w:r w:rsidR="0061521A" w:rsidRPr="0016323E">
          <w:rPr>
            <w:rStyle w:val="Hyperlink"/>
            <w:rFonts w:cs="Arial"/>
            <w:noProof/>
          </w:rPr>
          <w:t>Documentation</w:t>
        </w:r>
      </w:hyperlink>
    </w:p>
    <w:p w:rsidR="0061521A" w:rsidRDefault="00FF6F94">
      <w:pPr>
        <w:pStyle w:val="TOC2"/>
        <w:tabs>
          <w:tab w:val="left" w:pos="720"/>
          <w:tab w:val="right" w:leader="dot" w:pos="9350"/>
        </w:tabs>
        <w:rPr>
          <w:rFonts w:ascii="Calibri" w:hAnsi="Calibri"/>
          <w:noProof/>
          <w:sz w:val="22"/>
          <w:szCs w:val="22"/>
        </w:rPr>
      </w:pPr>
      <w:hyperlink w:anchor="_Toc302482353" w:history="1">
        <w:r w:rsidR="0061521A" w:rsidRPr="0016323E">
          <w:rPr>
            <w:rStyle w:val="Hyperlink"/>
            <w:rFonts w:cs="Arial"/>
            <w:noProof/>
          </w:rPr>
          <w:t>E.</w:t>
        </w:r>
        <w:r w:rsidR="0061521A">
          <w:rPr>
            <w:rFonts w:ascii="Calibri" w:hAnsi="Calibri"/>
            <w:noProof/>
            <w:sz w:val="22"/>
            <w:szCs w:val="22"/>
          </w:rPr>
          <w:tab/>
        </w:r>
        <w:r w:rsidR="0061521A" w:rsidRPr="0016323E">
          <w:rPr>
            <w:rStyle w:val="Hyperlink"/>
            <w:rFonts w:cs="Arial"/>
            <w:noProof/>
          </w:rPr>
          <w:t>Limits</w:t>
        </w:r>
      </w:hyperlink>
    </w:p>
    <w:p w:rsidR="0061521A" w:rsidRDefault="00FF6F94">
      <w:pPr>
        <w:pStyle w:val="TOC1"/>
        <w:rPr>
          <w:rFonts w:ascii="Calibri" w:hAnsi="Calibri" w:cs="Times New Roman"/>
          <w:szCs w:val="22"/>
        </w:rPr>
      </w:pPr>
      <w:hyperlink w:anchor="_Toc302482354" w:history="1">
        <w:r w:rsidR="0061521A" w:rsidRPr="0016323E">
          <w:rPr>
            <w:rStyle w:val="Hyperlink"/>
          </w:rPr>
          <w:t>IV.</w:t>
        </w:r>
        <w:r w:rsidR="0061521A">
          <w:rPr>
            <w:rFonts w:ascii="Calibri" w:hAnsi="Calibri" w:cs="Times New Roman"/>
            <w:szCs w:val="22"/>
          </w:rPr>
          <w:tab/>
        </w:r>
        <w:r w:rsidR="0061521A" w:rsidRPr="0016323E">
          <w:rPr>
            <w:rStyle w:val="Hyperlink"/>
          </w:rPr>
          <w:t>Review</w:t>
        </w:r>
      </w:hyperlink>
    </w:p>
    <w:p w:rsidR="00E547AF" w:rsidRDefault="00E547AF" w:rsidP="00AE08D3">
      <w:pPr>
        <w:pStyle w:val="Heading1"/>
        <w:numPr>
          <w:ilvl w:val="0"/>
          <w:numId w:val="5"/>
        </w:numPr>
        <w:tabs>
          <w:tab w:val="clear" w:pos="360"/>
          <w:tab w:val="num" w:pos="0"/>
        </w:tabs>
        <w:autoSpaceDE w:val="0"/>
        <w:spacing w:before="240" w:after="120" w:line="240" w:lineRule="atLeast"/>
        <w:ind w:left="0" w:hanging="547"/>
        <w:rPr>
          <w:rFonts w:ascii="Arial" w:hAnsi="Arial" w:cs="Arial"/>
          <w:smallCaps w:val="0"/>
          <w:sz w:val="24"/>
        </w:rPr>
      </w:pPr>
      <w:r>
        <w:rPr>
          <w:rFonts w:ascii="Arial" w:hAnsi="Arial" w:cs="Arial"/>
          <w:b w:val="0"/>
          <w:bCs w:val="0"/>
          <w:noProof/>
          <w:szCs w:val="22"/>
        </w:rPr>
        <w:fldChar w:fldCharType="end"/>
      </w:r>
      <w:bookmarkStart w:id="1" w:name="_Toc302482340"/>
      <w:r>
        <w:rPr>
          <w:rFonts w:ascii="Arial" w:hAnsi="Arial" w:cs="Arial"/>
          <w:smallCaps w:val="0"/>
          <w:sz w:val="24"/>
        </w:rPr>
        <w:t>Overall Policy Statement</w:t>
      </w:r>
      <w:bookmarkEnd w:id="1"/>
    </w:p>
    <w:p w:rsidR="00E547AF" w:rsidRDefault="00E547AF" w:rsidP="00F93D1D">
      <w:pPr>
        <w:spacing w:after="120" w:line="240" w:lineRule="atLeast"/>
        <w:rPr>
          <w:rFonts w:ascii="Arial" w:hAnsi="Arial" w:cs="Arial"/>
          <w:sz w:val="20"/>
        </w:rPr>
      </w:pPr>
      <w:r>
        <w:rPr>
          <w:rFonts w:ascii="Arial" w:hAnsi="Arial" w:cs="Arial"/>
          <w:sz w:val="20"/>
        </w:rPr>
        <w:t>The purpose of the Co</w:t>
      </w:r>
      <w:r w:rsidR="000F2309">
        <w:rPr>
          <w:rFonts w:ascii="Arial" w:hAnsi="Arial" w:cs="Arial"/>
          <w:sz w:val="20"/>
        </w:rPr>
        <w:t>rporate Treasury</w:t>
      </w:r>
      <w:r>
        <w:rPr>
          <w:rFonts w:ascii="Arial" w:hAnsi="Arial" w:cs="Arial"/>
          <w:sz w:val="20"/>
        </w:rPr>
        <w:t xml:space="preserve"> Liquidity </w:t>
      </w:r>
      <w:r w:rsidR="00872FAC">
        <w:rPr>
          <w:rFonts w:ascii="Arial" w:hAnsi="Arial" w:cs="Arial"/>
          <w:sz w:val="20"/>
        </w:rPr>
        <w:t xml:space="preserve">Stress Test </w:t>
      </w:r>
      <w:r>
        <w:rPr>
          <w:rFonts w:ascii="Arial" w:hAnsi="Arial" w:cs="Arial"/>
          <w:sz w:val="20"/>
        </w:rPr>
        <w:t xml:space="preserve">Policy is to provide a policy for </w:t>
      </w:r>
      <w:r w:rsidR="00A0530A">
        <w:rPr>
          <w:rFonts w:ascii="Arial" w:hAnsi="Arial" w:cs="Arial"/>
          <w:sz w:val="20"/>
        </w:rPr>
        <w:t xml:space="preserve">governing the production of </w:t>
      </w:r>
      <w:r w:rsidR="00872FAC">
        <w:rPr>
          <w:rFonts w:ascii="Arial" w:hAnsi="Arial" w:cs="Arial"/>
          <w:sz w:val="20"/>
        </w:rPr>
        <w:t>L</w:t>
      </w:r>
      <w:r w:rsidR="00CD14AA">
        <w:rPr>
          <w:rFonts w:ascii="Arial" w:hAnsi="Arial" w:cs="Arial"/>
          <w:sz w:val="20"/>
        </w:rPr>
        <w:t>iquidity</w:t>
      </w:r>
      <w:r w:rsidR="00872FAC">
        <w:rPr>
          <w:rFonts w:ascii="Arial" w:hAnsi="Arial" w:cs="Arial"/>
          <w:sz w:val="20"/>
        </w:rPr>
        <w:t xml:space="preserve"> Stress Test</w:t>
      </w:r>
      <w:r w:rsidR="00A0530A">
        <w:rPr>
          <w:rFonts w:ascii="Arial" w:hAnsi="Arial" w:cs="Arial"/>
          <w:sz w:val="20"/>
        </w:rPr>
        <w:t>s</w:t>
      </w:r>
      <w:r w:rsidR="002270A8">
        <w:rPr>
          <w:rFonts w:ascii="Arial" w:hAnsi="Arial" w:cs="Arial"/>
          <w:sz w:val="20"/>
        </w:rPr>
        <w:t xml:space="preserve"> (LST)</w:t>
      </w:r>
      <w:r w:rsidR="00CD14AA">
        <w:rPr>
          <w:rFonts w:ascii="Arial" w:hAnsi="Arial" w:cs="Arial"/>
          <w:sz w:val="20"/>
        </w:rPr>
        <w:t xml:space="preserve">. </w:t>
      </w:r>
      <w:r>
        <w:rPr>
          <w:rFonts w:ascii="Arial" w:hAnsi="Arial" w:cs="Arial"/>
          <w:sz w:val="20"/>
        </w:rPr>
        <w:t>Throughout the Policy, the term</w:t>
      </w:r>
      <w:r w:rsidR="00A0530A">
        <w:rPr>
          <w:rFonts w:ascii="Arial" w:hAnsi="Arial" w:cs="Arial"/>
          <w:sz w:val="20"/>
        </w:rPr>
        <w:t>s</w:t>
      </w:r>
      <w:r>
        <w:rPr>
          <w:rFonts w:ascii="Arial" w:hAnsi="Arial" w:cs="Arial"/>
          <w:sz w:val="20"/>
        </w:rPr>
        <w:t xml:space="preserve"> “BNY Mellon” </w:t>
      </w:r>
      <w:r w:rsidR="00A0530A">
        <w:rPr>
          <w:rFonts w:ascii="Arial" w:hAnsi="Arial" w:cs="Arial"/>
          <w:sz w:val="20"/>
        </w:rPr>
        <w:t xml:space="preserve">and “the Company” </w:t>
      </w:r>
      <w:r>
        <w:rPr>
          <w:rFonts w:ascii="Arial" w:hAnsi="Arial" w:cs="Arial"/>
          <w:sz w:val="20"/>
        </w:rPr>
        <w:t>incorporates by reference all subsidiaries.</w:t>
      </w:r>
      <w:r w:rsidR="00853C9E">
        <w:rPr>
          <w:rFonts w:ascii="Arial" w:hAnsi="Arial" w:cs="Arial"/>
          <w:sz w:val="20"/>
        </w:rPr>
        <w:t xml:space="preserve"> </w:t>
      </w:r>
    </w:p>
    <w:p w:rsidR="00E547AF" w:rsidRDefault="00DF524C" w:rsidP="00F93D1D">
      <w:pPr>
        <w:spacing w:after="120" w:line="240" w:lineRule="atLeast"/>
        <w:rPr>
          <w:rFonts w:ascii="Arial" w:hAnsi="Arial" w:cs="Arial"/>
          <w:sz w:val="20"/>
        </w:rPr>
      </w:pPr>
      <w:r>
        <w:rPr>
          <w:rFonts w:ascii="Arial" w:hAnsi="Arial" w:cs="Arial"/>
          <w:sz w:val="20"/>
        </w:rPr>
        <w:t>B</w:t>
      </w:r>
      <w:r w:rsidR="00E547AF">
        <w:rPr>
          <w:rFonts w:ascii="Arial" w:hAnsi="Arial" w:cs="Arial"/>
          <w:sz w:val="20"/>
        </w:rPr>
        <w:t xml:space="preserve">NY Mellon defines </w:t>
      </w:r>
      <w:r w:rsidR="00E547AF">
        <w:rPr>
          <w:rFonts w:ascii="Arial" w:hAnsi="Arial" w:cs="Arial"/>
          <w:i/>
          <w:sz w:val="20"/>
        </w:rPr>
        <w:t>liquidity</w:t>
      </w:r>
      <w:r w:rsidR="00E547AF">
        <w:rPr>
          <w:rFonts w:ascii="Arial" w:hAnsi="Arial" w:cs="Arial"/>
          <w:sz w:val="20"/>
        </w:rPr>
        <w:t xml:space="preserve"> as the ability of the Company and its subsidiaries to access funding or convert assets to cash quickly and </w:t>
      </w:r>
      <w:r w:rsidR="00E72732">
        <w:rPr>
          <w:rFonts w:ascii="Arial" w:hAnsi="Arial" w:cs="Arial"/>
          <w:sz w:val="20"/>
        </w:rPr>
        <w:t>efficiently</w:t>
      </w:r>
      <w:r w:rsidR="00E547AF">
        <w:rPr>
          <w:rFonts w:ascii="Arial" w:hAnsi="Arial" w:cs="Arial"/>
          <w:sz w:val="20"/>
        </w:rPr>
        <w:t>, especially during periods of market stress.</w:t>
      </w:r>
      <w:r w:rsidR="00CD14AA">
        <w:rPr>
          <w:rFonts w:ascii="Arial" w:hAnsi="Arial" w:cs="Arial"/>
          <w:sz w:val="20"/>
        </w:rPr>
        <w:t xml:space="preserve"> </w:t>
      </w:r>
      <w:r w:rsidR="002B73F0">
        <w:rPr>
          <w:rFonts w:ascii="Arial" w:hAnsi="Arial" w:cs="Arial"/>
          <w:sz w:val="20"/>
        </w:rPr>
        <w:t xml:space="preserve"> </w:t>
      </w:r>
      <w:r w:rsidR="00EE0722" w:rsidRPr="0040289A">
        <w:rPr>
          <w:rFonts w:ascii="Arial" w:hAnsi="Arial" w:cs="Arial"/>
          <w:sz w:val="20"/>
        </w:rPr>
        <w:t xml:space="preserve">Liquidity risks can arise from funding mismatches, market constraints from inability to convert assets to cash, inability to raise cash in the markets, deposit run-off, </w:t>
      </w:r>
      <w:r w:rsidR="00CD14AA">
        <w:rPr>
          <w:rFonts w:ascii="Arial" w:hAnsi="Arial" w:cs="Arial"/>
          <w:sz w:val="20"/>
        </w:rPr>
        <w:t>or contingent liquidity events.</w:t>
      </w:r>
      <w:r w:rsidR="00EE0722" w:rsidRPr="0040289A">
        <w:rPr>
          <w:rFonts w:ascii="Arial" w:hAnsi="Arial" w:cs="Arial"/>
          <w:sz w:val="20"/>
        </w:rPr>
        <w:t xml:space="preserve"> Changes in economic conditions or exposure to credit, market, operational, legal, and reputational risks also can affect the Company liquidity risk profile</w:t>
      </w:r>
      <w:r w:rsidR="002B73F0">
        <w:rPr>
          <w:rFonts w:ascii="Arial" w:hAnsi="Arial" w:cs="Arial"/>
          <w:sz w:val="20"/>
        </w:rPr>
        <w:t>.  These liquidity risks</w:t>
      </w:r>
      <w:r w:rsidR="00EE0722" w:rsidRPr="0040289A">
        <w:rPr>
          <w:rFonts w:ascii="Arial" w:hAnsi="Arial" w:cs="Arial"/>
          <w:sz w:val="20"/>
        </w:rPr>
        <w:t xml:space="preserve"> are considered in the liquidity </w:t>
      </w:r>
      <w:r w:rsidR="002270A8">
        <w:rPr>
          <w:rFonts w:ascii="Arial" w:hAnsi="Arial" w:cs="Arial"/>
          <w:sz w:val="20"/>
        </w:rPr>
        <w:t xml:space="preserve">stress </w:t>
      </w:r>
      <w:r w:rsidR="002270A8" w:rsidRPr="002270A8">
        <w:rPr>
          <w:rFonts w:ascii="Arial" w:hAnsi="Arial" w:cs="Arial"/>
          <w:sz w:val="20"/>
        </w:rPr>
        <w:t>test f</w:t>
      </w:r>
      <w:r w:rsidR="00EE0722" w:rsidRPr="002270A8">
        <w:rPr>
          <w:rFonts w:ascii="Arial" w:hAnsi="Arial" w:cs="Arial"/>
          <w:sz w:val="20"/>
        </w:rPr>
        <w:t>ramework</w:t>
      </w:r>
      <w:r w:rsidR="00EE0722" w:rsidRPr="0040289A">
        <w:rPr>
          <w:rFonts w:ascii="Arial" w:hAnsi="Arial" w:cs="Arial"/>
          <w:i/>
          <w:sz w:val="20"/>
        </w:rPr>
        <w:t>.</w:t>
      </w:r>
      <w:r w:rsidR="002270A8">
        <w:rPr>
          <w:rFonts w:ascii="Arial" w:hAnsi="Arial" w:cs="Arial"/>
          <w:sz w:val="20"/>
        </w:rPr>
        <w:t xml:space="preserve">  </w:t>
      </w:r>
    </w:p>
    <w:p w:rsidR="000F2309" w:rsidRPr="002270A8" w:rsidRDefault="000F2309" w:rsidP="00F93D1D">
      <w:pPr>
        <w:spacing w:after="120" w:line="240" w:lineRule="atLeast"/>
        <w:rPr>
          <w:rFonts w:ascii="Arial" w:hAnsi="Arial" w:cs="Arial"/>
          <w:sz w:val="20"/>
        </w:rPr>
      </w:pPr>
      <w:r>
        <w:rPr>
          <w:rFonts w:ascii="Arial" w:hAnsi="Arial" w:cs="Arial"/>
          <w:sz w:val="20"/>
        </w:rPr>
        <w:t>This policy is designed to supplement the Company Liquidity Policy and should be viewed in conjunction with the broader policies and mandates of the Company Liquidity Policy.</w:t>
      </w:r>
    </w:p>
    <w:p w:rsidR="00E547AF" w:rsidRDefault="00E547AF" w:rsidP="00CD14AA">
      <w:pPr>
        <w:pStyle w:val="Heading1"/>
        <w:numPr>
          <w:ilvl w:val="0"/>
          <w:numId w:val="5"/>
        </w:numPr>
        <w:tabs>
          <w:tab w:val="clear" w:pos="360"/>
          <w:tab w:val="num" w:pos="0"/>
        </w:tabs>
        <w:autoSpaceDE w:val="0"/>
        <w:spacing w:before="360" w:after="120" w:line="240" w:lineRule="atLeast"/>
        <w:ind w:left="0" w:hanging="540"/>
        <w:rPr>
          <w:rFonts w:ascii="Arial" w:hAnsi="Arial" w:cs="Arial"/>
          <w:smallCaps w:val="0"/>
          <w:sz w:val="20"/>
        </w:rPr>
      </w:pPr>
      <w:bookmarkStart w:id="2" w:name="_Liquidity_Measurements"/>
      <w:bookmarkStart w:id="3" w:name="_Toc302482341"/>
      <w:bookmarkEnd w:id="2"/>
      <w:r>
        <w:rPr>
          <w:rFonts w:ascii="Arial" w:hAnsi="Arial" w:cs="Arial"/>
          <w:smallCaps w:val="0"/>
          <w:sz w:val="24"/>
        </w:rPr>
        <w:t xml:space="preserve">Liquidity </w:t>
      </w:r>
      <w:r w:rsidR="00872FAC">
        <w:rPr>
          <w:rFonts w:ascii="Arial" w:hAnsi="Arial" w:cs="Arial"/>
          <w:smallCaps w:val="0"/>
          <w:sz w:val="24"/>
        </w:rPr>
        <w:t>Stress Test Procedure</w:t>
      </w:r>
      <w:r>
        <w:rPr>
          <w:rFonts w:ascii="Arial" w:hAnsi="Arial" w:cs="Arial"/>
          <w:smallCaps w:val="0"/>
          <w:sz w:val="24"/>
        </w:rPr>
        <w:t>s</w:t>
      </w:r>
      <w:bookmarkEnd w:id="3"/>
    </w:p>
    <w:p w:rsidR="00E547AF" w:rsidRDefault="00971729" w:rsidP="00CD14AA">
      <w:pPr>
        <w:pStyle w:val="Heading2"/>
        <w:numPr>
          <w:ilvl w:val="0"/>
          <w:numId w:val="6"/>
        </w:numPr>
        <w:autoSpaceDE w:val="0"/>
        <w:spacing w:line="240" w:lineRule="atLeast"/>
        <w:ind w:hanging="720"/>
        <w:rPr>
          <w:rFonts w:ascii="Arial" w:hAnsi="Arial" w:cs="Arial"/>
          <w:smallCaps w:val="0"/>
          <w:sz w:val="20"/>
          <w:u w:val="none"/>
        </w:rPr>
      </w:pPr>
      <w:bookmarkStart w:id="4" w:name="_Peer_Group_Liquidity"/>
      <w:bookmarkStart w:id="5" w:name="_Toc302482342"/>
      <w:bookmarkEnd w:id="4"/>
      <w:r>
        <w:rPr>
          <w:rFonts w:ascii="Arial" w:hAnsi="Arial" w:cs="Arial"/>
          <w:smallCaps w:val="0"/>
          <w:sz w:val="20"/>
          <w:u w:val="none"/>
        </w:rPr>
        <w:t>Methodology</w:t>
      </w:r>
      <w:bookmarkEnd w:id="5"/>
    </w:p>
    <w:p w:rsidR="00F93D1D" w:rsidRDefault="00E10C16" w:rsidP="00F93D1D">
      <w:pPr>
        <w:spacing w:after="120" w:line="240" w:lineRule="atLeast"/>
        <w:ind w:left="720"/>
        <w:rPr>
          <w:rFonts w:ascii="Arial" w:hAnsi="Arial" w:cs="Arial"/>
          <w:sz w:val="20"/>
        </w:rPr>
      </w:pPr>
      <w:r>
        <w:rPr>
          <w:rFonts w:ascii="Arial" w:hAnsi="Arial" w:cs="Arial"/>
          <w:sz w:val="20"/>
        </w:rPr>
        <w:t xml:space="preserve">As a means of evaluating the Company’s liquidity position under adverse funding conditions, the ALM Group within Corporate Treasury prepares various </w:t>
      </w:r>
      <w:r w:rsidR="002865A9">
        <w:rPr>
          <w:rFonts w:ascii="Arial" w:hAnsi="Arial" w:cs="Arial"/>
          <w:sz w:val="20"/>
        </w:rPr>
        <w:t>Liquidity Stress T</w:t>
      </w:r>
      <w:r w:rsidRPr="0040289A">
        <w:rPr>
          <w:rFonts w:ascii="Arial" w:hAnsi="Arial" w:cs="Arial"/>
          <w:sz w:val="20"/>
        </w:rPr>
        <w:t>est</w:t>
      </w:r>
      <w:r>
        <w:rPr>
          <w:rFonts w:ascii="Arial" w:hAnsi="Arial" w:cs="Arial"/>
          <w:sz w:val="20"/>
        </w:rPr>
        <w:t xml:space="preserve">s.  </w:t>
      </w:r>
      <w:r w:rsidRPr="000420C6">
        <w:rPr>
          <w:rFonts w:ascii="Arial" w:hAnsi="Arial" w:cs="Arial"/>
          <w:sz w:val="20"/>
        </w:rPr>
        <w:t>The</w:t>
      </w:r>
      <w:r>
        <w:rPr>
          <w:rFonts w:ascii="Arial" w:hAnsi="Arial" w:cs="Arial"/>
          <w:sz w:val="20"/>
        </w:rPr>
        <w:t>se</w:t>
      </w:r>
      <w:r w:rsidRPr="000420C6">
        <w:rPr>
          <w:rFonts w:ascii="Arial" w:hAnsi="Arial" w:cs="Arial"/>
          <w:sz w:val="20"/>
        </w:rPr>
        <w:t xml:space="preserve"> </w:t>
      </w:r>
      <w:r w:rsidR="002865A9">
        <w:rPr>
          <w:rFonts w:ascii="Arial" w:hAnsi="Arial" w:cs="Arial"/>
          <w:sz w:val="20"/>
        </w:rPr>
        <w:t>L</w:t>
      </w:r>
      <w:r>
        <w:rPr>
          <w:rFonts w:ascii="Arial" w:hAnsi="Arial" w:cs="Arial"/>
          <w:sz w:val="20"/>
        </w:rPr>
        <w:t xml:space="preserve">iquidity </w:t>
      </w:r>
      <w:r w:rsidR="002865A9">
        <w:rPr>
          <w:rFonts w:ascii="Arial" w:hAnsi="Arial" w:cs="Arial"/>
          <w:sz w:val="20"/>
        </w:rPr>
        <w:t>S</w:t>
      </w:r>
      <w:r w:rsidRPr="000420C6">
        <w:rPr>
          <w:rFonts w:ascii="Arial" w:hAnsi="Arial" w:cs="Arial"/>
          <w:sz w:val="20"/>
        </w:rPr>
        <w:t xml:space="preserve">tress </w:t>
      </w:r>
      <w:r w:rsidR="002865A9">
        <w:rPr>
          <w:rFonts w:ascii="Arial" w:hAnsi="Arial" w:cs="Arial"/>
          <w:sz w:val="20"/>
        </w:rPr>
        <w:t>T</w:t>
      </w:r>
      <w:r w:rsidRPr="000420C6">
        <w:rPr>
          <w:rFonts w:ascii="Arial" w:hAnsi="Arial" w:cs="Arial"/>
          <w:sz w:val="20"/>
        </w:rPr>
        <w:t>est</w:t>
      </w:r>
      <w:r>
        <w:rPr>
          <w:rFonts w:ascii="Arial" w:hAnsi="Arial" w:cs="Arial"/>
          <w:sz w:val="20"/>
        </w:rPr>
        <w:t>s are</w:t>
      </w:r>
      <w:r w:rsidRPr="000420C6">
        <w:rPr>
          <w:rFonts w:ascii="Arial" w:hAnsi="Arial" w:cs="Arial"/>
          <w:sz w:val="20"/>
        </w:rPr>
        <w:t xml:space="preserve"> designed to evaluate BNY Mellon’s liabilities, with a focus on tenor, deposit stickiness, and funding maturities</w:t>
      </w:r>
      <w:r w:rsidR="000F2309">
        <w:rPr>
          <w:rFonts w:ascii="Arial" w:hAnsi="Arial" w:cs="Arial"/>
          <w:sz w:val="20"/>
        </w:rPr>
        <w:t xml:space="preserve"> relative to cash inflows and liquid assets</w:t>
      </w:r>
      <w:r w:rsidRPr="000420C6">
        <w:rPr>
          <w:rFonts w:ascii="Arial" w:hAnsi="Arial" w:cs="Arial"/>
          <w:sz w:val="20"/>
        </w:rPr>
        <w:t>.</w:t>
      </w:r>
      <w:r>
        <w:rPr>
          <w:rFonts w:ascii="Arial" w:hAnsi="Arial" w:cs="Arial"/>
          <w:sz w:val="20"/>
        </w:rPr>
        <w:t xml:space="preserve">  </w:t>
      </w:r>
      <w:r w:rsidR="00F93D1D">
        <w:rPr>
          <w:rFonts w:ascii="Arial" w:hAnsi="Arial" w:cs="Arial"/>
          <w:sz w:val="20"/>
        </w:rPr>
        <w:t xml:space="preserve">The Company’s overall approach to the LST process is to evaluate the extent that sufficient assets or other </w:t>
      </w:r>
      <w:r w:rsidR="00F93D1D">
        <w:rPr>
          <w:rFonts w:ascii="Arial" w:hAnsi="Arial" w:cs="Arial"/>
          <w:sz w:val="20"/>
        </w:rPr>
        <w:lastRenderedPageBreak/>
        <w:t xml:space="preserve">funding sources are in place to satisfy the liabilities assumed to come due, given the stresses considered in the scenario </w:t>
      </w:r>
      <w:r w:rsidR="002B73F0">
        <w:rPr>
          <w:rFonts w:ascii="Arial" w:hAnsi="Arial" w:cs="Arial"/>
          <w:sz w:val="20"/>
        </w:rPr>
        <w:t>being analyzed</w:t>
      </w:r>
      <w:r w:rsidR="002865A9">
        <w:rPr>
          <w:rFonts w:ascii="Arial" w:hAnsi="Arial" w:cs="Arial"/>
          <w:sz w:val="20"/>
        </w:rPr>
        <w:t>.  In the Liquidity Stress T</w:t>
      </w:r>
      <w:r w:rsidR="00F93D1D">
        <w:rPr>
          <w:rFonts w:ascii="Arial" w:hAnsi="Arial" w:cs="Arial"/>
          <w:sz w:val="20"/>
        </w:rPr>
        <w:t>ests the Company undertakes, the survival horizon is one year. The LST practices, metrics, and limits are further detailed throughout this policy.</w:t>
      </w:r>
    </w:p>
    <w:p w:rsidR="00F93D1D" w:rsidRPr="000420C6" w:rsidRDefault="00F93D1D" w:rsidP="00E10C16">
      <w:pPr>
        <w:spacing w:line="240" w:lineRule="atLeast"/>
        <w:ind w:left="720"/>
        <w:rPr>
          <w:rFonts w:ascii="Arial" w:hAnsi="Arial" w:cs="Arial"/>
          <w:sz w:val="20"/>
        </w:rPr>
      </w:pPr>
      <w:r w:rsidRPr="00F93D1D">
        <w:rPr>
          <w:rFonts w:ascii="Arial" w:hAnsi="Arial" w:cs="Arial"/>
          <w:sz w:val="20"/>
        </w:rPr>
        <w:t>The primary goals of the stress test include the assessment of BNY Mellon’s current liquidity position, and the identification of significant vulnerabilities, which</w:t>
      </w:r>
      <w:r w:rsidR="00E10C16">
        <w:rPr>
          <w:rFonts w:ascii="Arial" w:hAnsi="Arial" w:cs="Arial"/>
          <w:sz w:val="20"/>
        </w:rPr>
        <w:t xml:space="preserve"> can be addressed proactively.  More specifically, t</w:t>
      </w:r>
      <w:r w:rsidRPr="000420C6">
        <w:rPr>
          <w:rFonts w:ascii="Arial" w:hAnsi="Arial" w:cs="Arial"/>
          <w:sz w:val="20"/>
        </w:rPr>
        <w:t xml:space="preserve">he strategic goals of the Liquidity Stress Test </w:t>
      </w:r>
      <w:r w:rsidR="002B73F0">
        <w:rPr>
          <w:rFonts w:ascii="Arial" w:hAnsi="Arial" w:cs="Arial"/>
          <w:sz w:val="20"/>
        </w:rPr>
        <w:t>include</w:t>
      </w:r>
      <w:r w:rsidRPr="000420C6">
        <w:rPr>
          <w:rFonts w:ascii="Arial" w:hAnsi="Arial" w:cs="Arial"/>
          <w:sz w:val="20"/>
        </w:rPr>
        <w:t>:</w:t>
      </w:r>
    </w:p>
    <w:p w:rsidR="00F93D1D" w:rsidRPr="000420C6" w:rsidRDefault="002B73F0" w:rsidP="00F93D1D">
      <w:pPr>
        <w:numPr>
          <w:ilvl w:val="0"/>
          <w:numId w:val="7"/>
        </w:numPr>
        <w:spacing w:line="240" w:lineRule="atLeast"/>
        <w:ind w:firstLine="360"/>
        <w:rPr>
          <w:rFonts w:ascii="Arial" w:hAnsi="Arial" w:cs="Arial"/>
          <w:sz w:val="20"/>
        </w:rPr>
      </w:pPr>
      <w:r>
        <w:rPr>
          <w:rFonts w:ascii="Arial" w:hAnsi="Arial" w:cs="Arial"/>
          <w:sz w:val="20"/>
        </w:rPr>
        <w:t>Ensuring</w:t>
      </w:r>
      <w:r w:rsidR="00F93D1D" w:rsidRPr="000420C6">
        <w:rPr>
          <w:rFonts w:ascii="Arial" w:hAnsi="Arial" w:cs="Arial"/>
          <w:sz w:val="20"/>
        </w:rPr>
        <w:t xml:space="preserve"> solvency of BNY Mellon during a period of liquidity stress</w:t>
      </w:r>
    </w:p>
    <w:p w:rsidR="00F93D1D" w:rsidRPr="000420C6" w:rsidRDefault="00F93D1D" w:rsidP="00F93D1D">
      <w:pPr>
        <w:numPr>
          <w:ilvl w:val="0"/>
          <w:numId w:val="7"/>
        </w:numPr>
        <w:spacing w:line="240" w:lineRule="atLeast"/>
        <w:ind w:firstLine="360"/>
        <w:rPr>
          <w:rFonts w:ascii="Arial" w:hAnsi="Arial" w:cs="Arial"/>
          <w:sz w:val="20"/>
        </w:rPr>
      </w:pPr>
      <w:r w:rsidRPr="000420C6">
        <w:rPr>
          <w:rFonts w:ascii="Arial" w:hAnsi="Arial" w:cs="Arial"/>
          <w:sz w:val="20"/>
        </w:rPr>
        <w:t>Protect</w:t>
      </w:r>
      <w:r w:rsidR="002B73F0">
        <w:rPr>
          <w:rFonts w:ascii="Arial" w:hAnsi="Arial" w:cs="Arial"/>
          <w:sz w:val="20"/>
        </w:rPr>
        <w:t>ing</w:t>
      </w:r>
      <w:r w:rsidRPr="000420C6">
        <w:rPr>
          <w:rFonts w:ascii="Arial" w:hAnsi="Arial" w:cs="Arial"/>
          <w:sz w:val="20"/>
        </w:rPr>
        <w:t xml:space="preserve"> the BNY Mellon franchise as an ongoing business</w:t>
      </w:r>
    </w:p>
    <w:p w:rsidR="00F93D1D" w:rsidRDefault="0018375A" w:rsidP="00F93D1D">
      <w:pPr>
        <w:numPr>
          <w:ilvl w:val="0"/>
          <w:numId w:val="7"/>
        </w:numPr>
        <w:tabs>
          <w:tab w:val="clear" w:pos="-2520"/>
          <w:tab w:val="num" w:pos="-1800"/>
        </w:tabs>
        <w:spacing w:after="120" w:line="240" w:lineRule="atLeast"/>
        <w:ind w:left="1440"/>
        <w:rPr>
          <w:rFonts w:ascii="Arial" w:hAnsi="Arial" w:cs="Arial"/>
          <w:sz w:val="20"/>
        </w:rPr>
      </w:pPr>
      <w:r>
        <w:rPr>
          <w:rFonts w:ascii="Arial" w:hAnsi="Arial" w:cs="Arial"/>
          <w:sz w:val="20"/>
        </w:rPr>
        <w:t>Assessing any potential vulnerabilities</w:t>
      </w:r>
    </w:p>
    <w:p w:rsidR="0095692E" w:rsidRDefault="00F93D1D" w:rsidP="00F93D1D">
      <w:pPr>
        <w:spacing w:after="120" w:line="240" w:lineRule="atLeast"/>
        <w:ind w:left="720"/>
        <w:rPr>
          <w:rFonts w:ascii="Arial" w:hAnsi="Arial" w:cs="Arial"/>
          <w:sz w:val="20"/>
        </w:rPr>
      </w:pPr>
      <w:r w:rsidRPr="00F93D1D">
        <w:rPr>
          <w:rFonts w:ascii="Arial" w:hAnsi="Arial" w:cs="Arial"/>
          <w:sz w:val="20"/>
        </w:rPr>
        <w:t xml:space="preserve">The </w:t>
      </w:r>
      <w:r w:rsidR="00E10C16">
        <w:rPr>
          <w:rFonts w:ascii="Arial" w:hAnsi="Arial" w:cs="Arial"/>
          <w:sz w:val="20"/>
        </w:rPr>
        <w:t>Liquidity Stress Tests include</w:t>
      </w:r>
      <w:r w:rsidRPr="00F93D1D">
        <w:rPr>
          <w:rFonts w:ascii="Arial" w:hAnsi="Arial" w:cs="Arial"/>
          <w:sz w:val="20"/>
        </w:rPr>
        <w:t xml:space="preserve"> a forecast of the projected net liquidity of the firm after accounting for adverse events such as a withdrawal of deposits, leading to inaccessibility to the capital markets.</w:t>
      </w:r>
      <w:r>
        <w:rPr>
          <w:rFonts w:ascii="Arial" w:hAnsi="Arial" w:cs="Arial"/>
          <w:sz w:val="20"/>
        </w:rPr>
        <w:t xml:space="preserve">  Specifically, </w:t>
      </w:r>
      <w:r w:rsidR="0095692E">
        <w:rPr>
          <w:rFonts w:ascii="Arial" w:hAnsi="Arial" w:cs="Arial"/>
          <w:sz w:val="20"/>
        </w:rPr>
        <w:t>the ALM Group determine</w:t>
      </w:r>
      <w:r w:rsidR="007D3501">
        <w:rPr>
          <w:rFonts w:ascii="Arial" w:hAnsi="Arial" w:cs="Arial"/>
          <w:sz w:val="20"/>
        </w:rPr>
        <w:t>s</w:t>
      </w:r>
      <w:r w:rsidR="0095692E">
        <w:rPr>
          <w:rFonts w:ascii="Arial" w:hAnsi="Arial" w:cs="Arial"/>
          <w:sz w:val="20"/>
        </w:rPr>
        <w:t xml:space="preserve"> the deficit or excess of assets over liabilities and capital</w:t>
      </w:r>
      <w:r w:rsidR="002B73F0">
        <w:rPr>
          <w:rFonts w:ascii="Arial" w:hAnsi="Arial" w:cs="Arial"/>
          <w:sz w:val="20"/>
        </w:rPr>
        <w:t>, given assumptions regarding the behavior of liabilities in the scenario analyzed.  This calculation also</w:t>
      </w:r>
      <w:r w:rsidR="007D3501">
        <w:rPr>
          <w:rFonts w:ascii="Arial" w:hAnsi="Arial" w:cs="Arial"/>
          <w:sz w:val="20"/>
        </w:rPr>
        <w:t xml:space="preserve"> includes</w:t>
      </w:r>
      <w:r w:rsidR="0095692E">
        <w:rPr>
          <w:rFonts w:ascii="Arial" w:hAnsi="Arial" w:cs="Arial"/>
          <w:sz w:val="20"/>
        </w:rPr>
        <w:t xml:space="preserve"> </w:t>
      </w:r>
      <w:r w:rsidR="007D3501">
        <w:rPr>
          <w:rFonts w:ascii="Arial" w:hAnsi="Arial" w:cs="Arial"/>
          <w:sz w:val="20"/>
        </w:rPr>
        <w:t>c</w:t>
      </w:r>
      <w:r w:rsidR="0095692E">
        <w:rPr>
          <w:rFonts w:ascii="Arial" w:hAnsi="Arial" w:cs="Arial"/>
          <w:sz w:val="20"/>
        </w:rPr>
        <w:t>ertain off-balance sheet funding</w:t>
      </w:r>
      <w:r w:rsidR="007D3501">
        <w:rPr>
          <w:rFonts w:ascii="Arial" w:hAnsi="Arial" w:cs="Arial"/>
          <w:sz w:val="20"/>
        </w:rPr>
        <w:t xml:space="preserve"> needs.  This is compared to the contingent liquidity available from securities and loans to determine the net liquidity position of the Company.</w:t>
      </w:r>
      <w:r w:rsidR="0095692E">
        <w:rPr>
          <w:rFonts w:ascii="Arial" w:hAnsi="Arial" w:cs="Arial"/>
          <w:sz w:val="20"/>
        </w:rPr>
        <w:t xml:space="preserve"> </w:t>
      </w:r>
      <w:r w:rsidR="00B21572">
        <w:rPr>
          <w:rFonts w:ascii="Arial" w:hAnsi="Arial" w:cs="Arial"/>
          <w:sz w:val="20"/>
        </w:rPr>
        <w:t xml:space="preserve"> The </w:t>
      </w:r>
      <w:r w:rsidR="002B73F0">
        <w:rPr>
          <w:rFonts w:ascii="Arial" w:hAnsi="Arial" w:cs="Arial"/>
          <w:sz w:val="20"/>
        </w:rPr>
        <w:t>net liquidity position</w:t>
      </w:r>
      <w:r w:rsidR="00B21572">
        <w:rPr>
          <w:rFonts w:ascii="Arial" w:hAnsi="Arial" w:cs="Arial"/>
          <w:sz w:val="20"/>
        </w:rPr>
        <w:t xml:space="preserve"> is computed at various time periods over the year </w:t>
      </w:r>
      <w:r w:rsidR="002B73F0">
        <w:rPr>
          <w:rFonts w:ascii="Arial" w:hAnsi="Arial" w:cs="Arial"/>
          <w:sz w:val="20"/>
        </w:rPr>
        <w:t>analyzed</w:t>
      </w:r>
      <w:r>
        <w:rPr>
          <w:rFonts w:ascii="Arial" w:hAnsi="Arial" w:cs="Arial"/>
          <w:sz w:val="20"/>
        </w:rPr>
        <w:t xml:space="preserve"> in the </w:t>
      </w:r>
      <w:r w:rsidR="002865A9">
        <w:rPr>
          <w:rFonts w:ascii="Arial" w:hAnsi="Arial" w:cs="Arial"/>
          <w:sz w:val="20"/>
        </w:rPr>
        <w:t>Liquidity Stress T</w:t>
      </w:r>
      <w:r>
        <w:rPr>
          <w:rFonts w:ascii="Arial" w:hAnsi="Arial" w:cs="Arial"/>
          <w:sz w:val="20"/>
        </w:rPr>
        <w:t>ests</w:t>
      </w:r>
      <w:r w:rsidR="00B21572">
        <w:rPr>
          <w:rFonts w:ascii="Arial" w:hAnsi="Arial" w:cs="Arial"/>
          <w:sz w:val="20"/>
        </w:rPr>
        <w:t>.</w:t>
      </w:r>
    </w:p>
    <w:p w:rsidR="00E547AF" w:rsidRDefault="007D3501" w:rsidP="00F93D1D">
      <w:pPr>
        <w:spacing w:after="120" w:line="240" w:lineRule="atLeast"/>
        <w:ind w:left="720"/>
        <w:rPr>
          <w:rFonts w:ascii="Arial" w:hAnsi="Arial" w:cs="Arial"/>
          <w:sz w:val="20"/>
        </w:rPr>
      </w:pPr>
      <w:r>
        <w:rPr>
          <w:rFonts w:ascii="Arial" w:hAnsi="Arial" w:cs="Arial"/>
          <w:sz w:val="20"/>
        </w:rPr>
        <w:t>Stress tests should ensure that current exposures are consistent with Company risk tolerance and limits.</w:t>
      </w:r>
    </w:p>
    <w:p w:rsidR="00E547AF" w:rsidRDefault="00971729" w:rsidP="00CD14AA">
      <w:pPr>
        <w:pStyle w:val="Heading2"/>
        <w:numPr>
          <w:ilvl w:val="0"/>
          <w:numId w:val="6"/>
        </w:numPr>
        <w:autoSpaceDE w:val="0"/>
        <w:spacing w:before="240" w:line="240" w:lineRule="atLeast"/>
        <w:ind w:hanging="720"/>
        <w:rPr>
          <w:rFonts w:ascii="Arial" w:hAnsi="Arial" w:cs="Arial"/>
          <w:smallCaps w:val="0"/>
          <w:sz w:val="20"/>
          <w:u w:val="none"/>
        </w:rPr>
      </w:pPr>
      <w:bookmarkStart w:id="6" w:name="_Liquidity_Measures"/>
      <w:bookmarkStart w:id="7" w:name="_Funding_Sources_and"/>
      <w:bookmarkStart w:id="8" w:name="_Toc302482343"/>
      <w:bookmarkEnd w:id="6"/>
      <w:bookmarkEnd w:id="7"/>
      <w:r>
        <w:rPr>
          <w:rFonts w:ascii="Arial" w:hAnsi="Arial" w:cs="Arial"/>
          <w:smallCaps w:val="0"/>
          <w:sz w:val="20"/>
          <w:u w:val="none"/>
        </w:rPr>
        <w:t>Scope</w:t>
      </w:r>
      <w:bookmarkEnd w:id="8"/>
      <w:r>
        <w:rPr>
          <w:rFonts w:ascii="Arial" w:hAnsi="Arial" w:cs="Arial"/>
          <w:smallCaps w:val="0"/>
          <w:sz w:val="20"/>
          <w:u w:val="none"/>
        </w:rPr>
        <w:t xml:space="preserve"> </w:t>
      </w:r>
    </w:p>
    <w:p w:rsidR="0027712D" w:rsidRDefault="00605652" w:rsidP="000420C6">
      <w:pPr>
        <w:spacing w:line="240" w:lineRule="atLeast"/>
        <w:ind w:left="720"/>
        <w:rPr>
          <w:rFonts w:ascii="Arial" w:hAnsi="Arial" w:cs="Arial"/>
          <w:sz w:val="20"/>
        </w:rPr>
      </w:pPr>
      <w:r>
        <w:rPr>
          <w:rFonts w:ascii="Arial" w:hAnsi="Arial" w:cs="Arial"/>
          <w:sz w:val="20"/>
        </w:rPr>
        <w:t>Liquidity Stress T</w:t>
      </w:r>
      <w:r w:rsidR="00F93D1D" w:rsidRPr="00F93D1D">
        <w:rPr>
          <w:rFonts w:ascii="Arial" w:hAnsi="Arial" w:cs="Arial"/>
          <w:sz w:val="20"/>
        </w:rPr>
        <w:t>est</w:t>
      </w:r>
      <w:r>
        <w:rPr>
          <w:rFonts w:ascii="Arial" w:hAnsi="Arial" w:cs="Arial"/>
          <w:sz w:val="20"/>
        </w:rPr>
        <w:t>s are</w:t>
      </w:r>
      <w:r w:rsidR="002B73F0">
        <w:rPr>
          <w:rFonts w:ascii="Arial" w:hAnsi="Arial" w:cs="Arial"/>
          <w:sz w:val="20"/>
        </w:rPr>
        <w:t xml:space="preserve"> completed at t</w:t>
      </w:r>
      <w:r w:rsidR="002B73F0" w:rsidRPr="002B73F0">
        <w:rPr>
          <w:rFonts w:ascii="Arial" w:hAnsi="Arial" w:cs="Arial"/>
          <w:sz w:val="20"/>
        </w:rPr>
        <w:t>he Bank of New York Mellon</w:t>
      </w:r>
      <w:r w:rsidR="002B73F0">
        <w:rPr>
          <w:rFonts w:ascii="Arial" w:hAnsi="Arial" w:cs="Arial"/>
          <w:sz w:val="20"/>
        </w:rPr>
        <w:t xml:space="preserve"> Corporation (the “Company”) level.  All balances will be presented in US Dollars, unless otherwise noted in the Liquidity Stress Test.</w:t>
      </w:r>
    </w:p>
    <w:p w:rsidR="0027712D" w:rsidRDefault="0027712D" w:rsidP="000420C6">
      <w:pPr>
        <w:spacing w:line="240" w:lineRule="atLeast"/>
        <w:ind w:left="720"/>
        <w:rPr>
          <w:rFonts w:ascii="Arial" w:hAnsi="Arial" w:cs="Arial"/>
          <w:sz w:val="20"/>
        </w:rPr>
      </w:pPr>
    </w:p>
    <w:p w:rsidR="000420C6" w:rsidRDefault="0027712D" w:rsidP="0027712D">
      <w:pPr>
        <w:spacing w:line="240" w:lineRule="atLeast"/>
        <w:ind w:left="720"/>
        <w:rPr>
          <w:rFonts w:ascii="Arial" w:hAnsi="Arial" w:cs="Arial"/>
          <w:sz w:val="20"/>
        </w:rPr>
      </w:pPr>
      <w:r>
        <w:rPr>
          <w:rFonts w:ascii="Arial" w:hAnsi="Arial" w:cs="Arial"/>
          <w:sz w:val="20"/>
        </w:rPr>
        <w:t xml:space="preserve">Additional </w:t>
      </w:r>
      <w:r w:rsidR="000420C6" w:rsidRPr="000420C6">
        <w:rPr>
          <w:rFonts w:ascii="Arial" w:hAnsi="Arial" w:cs="Arial"/>
          <w:sz w:val="20"/>
        </w:rPr>
        <w:t>analyses</w:t>
      </w:r>
      <w:r>
        <w:rPr>
          <w:rFonts w:ascii="Arial" w:hAnsi="Arial" w:cs="Arial"/>
          <w:sz w:val="20"/>
        </w:rPr>
        <w:t xml:space="preserve"> will be performed periodically by ALM or subsidiary personnel</w:t>
      </w:r>
      <w:r w:rsidR="000420C6" w:rsidRPr="000420C6">
        <w:rPr>
          <w:rFonts w:ascii="Arial" w:hAnsi="Arial" w:cs="Arial"/>
          <w:sz w:val="20"/>
        </w:rPr>
        <w:t xml:space="preserve"> to evaluate liquidity in s</w:t>
      </w:r>
      <w:r>
        <w:rPr>
          <w:rFonts w:ascii="Arial" w:hAnsi="Arial" w:cs="Arial"/>
          <w:sz w:val="20"/>
        </w:rPr>
        <w:t>ignificant</w:t>
      </w:r>
      <w:r w:rsidR="000420C6" w:rsidRPr="000420C6">
        <w:rPr>
          <w:rFonts w:ascii="Arial" w:hAnsi="Arial" w:cs="Arial"/>
          <w:sz w:val="20"/>
        </w:rPr>
        <w:t xml:space="preserve"> legal entities</w:t>
      </w:r>
      <w:r w:rsidR="002865A9">
        <w:rPr>
          <w:rFonts w:ascii="Arial" w:hAnsi="Arial" w:cs="Arial"/>
          <w:sz w:val="20"/>
        </w:rPr>
        <w:t>.  Liquidity Stress T</w:t>
      </w:r>
      <w:r>
        <w:rPr>
          <w:rFonts w:ascii="Arial" w:hAnsi="Arial" w:cs="Arial"/>
          <w:sz w:val="20"/>
        </w:rPr>
        <w:t>ests will also be performed periodically by major currencies to analyze</w:t>
      </w:r>
      <w:r w:rsidR="000420C6" w:rsidRPr="000420C6">
        <w:rPr>
          <w:rFonts w:ascii="Arial" w:hAnsi="Arial" w:cs="Arial"/>
          <w:sz w:val="20"/>
        </w:rPr>
        <w:t xml:space="preserve"> potential liquidity exposures should the foreign exchange markets cease to operate.</w:t>
      </w:r>
      <w:r>
        <w:rPr>
          <w:rFonts w:ascii="Arial" w:hAnsi="Arial" w:cs="Arial"/>
          <w:sz w:val="20"/>
        </w:rPr>
        <w:t xml:space="preserve">  </w:t>
      </w:r>
    </w:p>
    <w:p w:rsidR="00B07B21" w:rsidRDefault="00B07B21" w:rsidP="00B07B21">
      <w:pPr>
        <w:pStyle w:val="Heading2"/>
        <w:numPr>
          <w:ilvl w:val="0"/>
          <w:numId w:val="6"/>
        </w:numPr>
        <w:autoSpaceDE w:val="0"/>
        <w:spacing w:before="240" w:line="240" w:lineRule="atLeast"/>
        <w:ind w:hanging="720"/>
        <w:rPr>
          <w:rFonts w:ascii="Arial" w:hAnsi="Arial" w:cs="Arial"/>
          <w:smallCaps w:val="0"/>
          <w:sz w:val="20"/>
          <w:u w:val="none"/>
        </w:rPr>
      </w:pPr>
      <w:bookmarkStart w:id="9" w:name="_Toc302482344"/>
      <w:r>
        <w:rPr>
          <w:rFonts w:ascii="Arial" w:hAnsi="Arial" w:cs="Arial"/>
          <w:smallCaps w:val="0"/>
          <w:sz w:val="20"/>
          <w:u w:val="none"/>
        </w:rPr>
        <w:t>Frequency</w:t>
      </w:r>
      <w:bookmarkEnd w:id="9"/>
    </w:p>
    <w:p w:rsidR="00B07B21" w:rsidRDefault="00B07B21" w:rsidP="00B07B21">
      <w:pPr>
        <w:spacing w:line="240" w:lineRule="atLeast"/>
        <w:ind w:left="720"/>
        <w:rPr>
          <w:rFonts w:ascii="Arial" w:hAnsi="Arial" w:cs="Arial"/>
          <w:sz w:val="20"/>
        </w:rPr>
      </w:pPr>
      <w:r>
        <w:rPr>
          <w:rFonts w:ascii="Arial" w:hAnsi="Arial" w:cs="Arial"/>
          <w:sz w:val="20"/>
        </w:rPr>
        <w:t xml:space="preserve">ALM will conduct Company Liquidity Stress Testing monthly and report results as discussed in the Governance section of this policy.  </w:t>
      </w:r>
    </w:p>
    <w:p w:rsidR="00B07B21" w:rsidRDefault="00B07B21" w:rsidP="00B07B21">
      <w:pPr>
        <w:spacing w:line="240" w:lineRule="atLeast"/>
        <w:ind w:left="720"/>
        <w:rPr>
          <w:rFonts w:ascii="Arial" w:hAnsi="Arial" w:cs="Arial"/>
          <w:sz w:val="20"/>
        </w:rPr>
      </w:pPr>
    </w:p>
    <w:p w:rsidR="00B07B21" w:rsidRDefault="00B07B21" w:rsidP="00B07B21">
      <w:pPr>
        <w:spacing w:line="240" w:lineRule="atLeast"/>
        <w:ind w:left="720"/>
        <w:rPr>
          <w:rFonts w:ascii="Arial" w:hAnsi="Arial" w:cs="Arial"/>
          <w:sz w:val="20"/>
        </w:rPr>
      </w:pPr>
      <w:r>
        <w:rPr>
          <w:rFonts w:ascii="Arial" w:hAnsi="Arial" w:cs="Arial"/>
          <w:sz w:val="20"/>
        </w:rPr>
        <w:t>Additional scenarios other than the Base Case, Supplemental, and Reverse Stress Tests are performed on a less frequent basis, as noted below.</w:t>
      </w:r>
    </w:p>
    <w:p w:rsidR="00E547AF" w:rsidRDefault="00971729" w:rsidP="00CD14AA">
      <w:pPr>
        <w:pStyle w:val="Heading2"/>
        <w:numPr>
          <w:ilvl w:val="0"/>
          <w:numId w:val="6"/>
        </w:numPr>
        <w:autoSpaceDE w:val="0"/>
        <w:spacing w:before="240" w:line="240" w:lineRule="atLeast"/>
        <w:ind w:hanging="720"/>
        <w:rPr>
          <w:rFonts w:ascii="Arial" w:hAnsi="Arial" w:cs="Arial"/>
          <w:smallCaps w:val="0"/>
          <w:sz w:val="20"/>
          <w:u w:val="none"/>
        </w:rPr>
      </w:pPr>
      <w:bookmarkStart w:id="10" w:name="_Brokered_Deposits"/>
      <w:bookmarkStart w:id="11" w:name="_Toc302482345"/>
      <w:bookmarkEnd w:id="10"/>
      <w:r>
        <w:rPr>
          <w:rFonts w:ascii="Arial" w:hAnsi="Arial" w:cs="Arial"/>
          <w:smallCaps w:val="0"/>
          <w:sz w:val="20"/>
          <w:u w:val="none"/>
        </w:rPr>
        <w:t>Scenarios</w:t>
      </w:r>
      <w:bookmarkEnd w:id="11"/>
    </w:p>
    <w:p w:rsidR="00B21572" w:rsidRDefault="00E547AF" w:rsidP="00B07B21">
      <w:pPr>
        <w:spacing w:line="240" w:lineRule="atLeast"/>
        <w:ind w:left="720"/>
        <w:rPr>
          <w:rFonts w:ascii="Arial" w:hAnsi="Arial" w:cs="Arial"/>
          <w:sz w:val="20"/>
        </w:rPr>
      </w:pPr>
      <w:r>
        <w:rPr>
          <w:rFonts w:ascii="Arial" w:hAnsi="Arial" w:cs="Arial"/>
          <w:sz w:val="20"/>
        </w:rPr>
        <w:t xml:space="preserve">In order </w:t>
      </w:r>
      <w:r w:rsidR="00B07B21">
        <w:rPr>
          <w:rFonts w:ascii="Arial" w:hAnsi="Arial" w:cs="Arial"/>
          <w:sz w:val="20"/>
        </w:rPr>
        <w:t>ana</w:t>
      </w:r>
      <w:r w:rsidR="00CE461D">
        <w:rPr>
          <w:rFonts w:ascii="Arial" w:hAnsi="Arial" w:cs="Arial"/>
          <w:sz w:val="20"/>
        </w:rPr>
        <w:t xml:space="preserve">lyze various stress </w:t>
      </w:r>
      <w:r w:rsidR="00B07B21">
        <w:rPr>
          <w:rFonts w:ascii="Arial" w:hAnsi="Arial" w:cs="Arial"/>
          <w:sz w:val="20"/>
        </w:rPr>
        <w:t>s</w:t>
      </w:r>
      <w:r w:rsidR="00CE461D">
        <w:rPr>
          <w:rFonts w:ascii="Arial" w:hAnsi="Arial" w:cs="Arial"/>
          <w:sz w:val="20"/>
        </w:rPr>
        <w:t>cenarios and the</w:t>
      </w:r>
      <w:r w:rsidR="00B07B21">
        <w:rPr>
          <w:rFonts w:ascii="Arial" w:hAnsi="Arial" w:cs="Arial"/>
          <w:sz w:val="20"/>
        </w:rPr>
        <w:t xml:space="preserve"> resulting liquidity </w:t>
      </w:r>
      <w:r w:rsidR="00CE461D">
        <w:rPr>
          <w:rFonts w:ascii="Arial" w:hAnsi="Arial" w:cs="Arial"/>
          <w:sz w:val="20"/>
        </w:rPr>
        <w:t>impact;</w:t>
      </w:r>
      <w:r w:rsidR="00B07B21">
        <w:rPr>
          <w:rFonts w:ascii="Arial" w:hAnsi="Arial" w:cs="Arial"/>
          <w:sz w:val="20"/>
        </w:rPr>
        <w:t xml:space="preserve"> the following stress tests are performed:</w:t>
      </w:r>
    </w:p>
    <w:p w:rsidR="00704DFD" w:rsidRDefault="00C276E6" w:rsidP="00D60747">
      <w:pPr>
        <w:numPr>
          <w:ilvl w:val="1"/>
          <w:numId w:val="6"/>
        </w:numPr>
        <w:tabs>
          <w:tab w:val="clear" w:pos="1440"/>
          <w:tab w:val="num" w:pos="1080"/>
        </w:tabs>
        <w:spacing w:line="240" w:lineRule="atLeast"/>
        <w:ind w:left="1080"/>
        <w:rPr>
          <w:rFonts w:ascii="Arial" w:hAnsi="Arial" w:cs="Arial"/>
          <w:sz w:val="20"/>
        </w:rPr>
      </w:pPr>
      <w:r w:rsidRPr="00704DFD">
        <w:rPr>
          <w:rFonts w:ascii="Arial" w:hAnsi="Arial" w:cs="Arial"/>
          <w:sz w:val="20"/>
          <w:u w:val="single"/>
        </w:rPr>
        <w:t>Base Case</w:t>
      </w:r>
      <w:r w:rsidR="00704DFD">
        <w:rPr>
          <w:rFonts w:ascii="Arial" w:hAnsi="Arial" w:cs="Arial"/>
          <w:sz w:val="20"/>
        </w:rPr>
        <w:t xml:space="preserve"> - </w:t>
      </w:r>
      <w:r w:rsidR="002B73F0">
        <w:rPr>
          <w:rFonts w:ascii="Arial" w:hAnsi="Arial" w:cs="Arial"/>
          <w:sz w:val="20"/>
        </w:rPr>
        <w:t>Projects the</w:t>
      </w:r>
      <w:r w:rsidR="005B3D00">
        <w:rPr>
          <w:rFonts w:ascii="Arial" w:hAnsi="Arial" w:cs="Arial"/>
          <w:sz w:val="20"/>
        </w:rPr>
        <w:t xml:space="preserve"> Company’s </w:t>
      </w:r>
      <w:r w:rsidR="00704DFD">
        <w:rPr>
          <w:rFonts w:ascii="Arial" w:hAnsi="Arial" w:cs="Arial"/>
          <w:sz w:val="20"/>
        </w:rPr>
        <w:t xml:space="preserve">net liquidity </w:t>
      </w:r>
      <w:r w:rsidR="005B3D00">
        <w:rPr>
          <w:rFonts w:ascii="Arial" w:hAnsi="Arial" w:cs="Arial"/>
          <w:sz w:val="20"/>
        </w:rPr>
        <w:t>following</w:t>
      </w:r>
      <w:r w:rsidR="00704DFD">
        <w:rPr>
          <w:rFonts w:ascii="Arial" w:hAnsi="Arial" w:cs="Arial"/>
          <w:sz w:val="20"/>
        </w:rPr>
        <w:t xml:space="preserve"> severe market and idiosyncratic stress, resulting in consequences</w:t>
      </w:r>
      <w:r w:rsidR="00704DFD" w:rsidRPr="00F93D1D">
        <w:rPr>
          <w:rFonts w:ascii="Arial" w:hAnsi="Arial" w:cs="Arial"/>
          <w:sz w:val="20"/>
        </w:rPr>
        <w:t xml:space="preserve"> such as a withdrawal of deposits, leading to inaccessibility to the capital markets.</w:t>
      </w:r>
      <w:r w:rsidR="00704DFD">
        <w:rPr>
          <w:rFonts w:ascii="Arial" w:hAnsi="Arial" w:cs="Arial"/>
          <w:sz w:val="20"/>
        </w:rPr>
        <w:t xml:space="preserve">  </w:t>
      </w:r>
    </w:p>
    <w:p w:rsidR="00C276E6" w:rsidRDefault="00C276E6" w:rsidP="00D60747">
      <w:pPr>
        <w:numPr>
          <w:ilvl w:val="1"/>
          <w:numId w:val="6"/>
        </w:numPr>
        <w:tabs>
          <w:tab w:val="clear" w:pos="1440"/>
          <w:tab w:val="num" w:pos="1080"/>
        </w:tabs>
        <w:spacing w:line="240" w:lineRule="atLeast"/>
        <w:ind w:left="1080"/>
        <w:rPr>
          <w:rFonts w:ascii="Arial" w:hAnsi="Arial" w:cs="Arial"/>
          <w:sz w:val="20"/>
        </w:rPr>
      </w:pPr>
      <w:r w:rsidRPr="00704DFD">
        <w:rPr>
          <w:rFonts w:ascii="Arial" w:hAnsi="Arial" w:cs="Arial"/>
          <w:sz w:val="20"/>
          <w:u w:val="single"/>
        </w:rPr>
        <w:t>Supplemental Stress Tests</w:t>
      </w:r>
      <w:r>
        <w:rPr>
          <w:rFonts w:ascii="Arial" w:hAnsi="Arial" w:cs="Arial"/>
          <w:sz w:val="20"/>
        </w:rPr>
        <w:t xml:space="preserve"> –</w:t>
      </w:r>
      <w:r w:rsidR="005B3D00">
        <w:rPr>
          <w:rFonts w:ascii="Arial" w:hAnsi="Arial" w:cs="Arial"/>
          <w:sz w:val="20"/>
        </w:rPr>
        <w:t xml:space="preserve"> These </w:t>
      </w:r>
      <w:r w:rsidR="008F5519">
        <w:rPr>
          <w:rFonts w:ascii="Arial" w:hAnsi="Arial" w:cs="Arial"/>
          <w:sz w:val="20"/>
        </w:rPr>
        <w:t>scenarios</w:t>
      </w:r>
      <w:r w:rsidR="005B3D00">
        <w:rPr>
          <w:rFonts w:ascii="Arial" w:hAnsi="Arial" w:cs="Arial"/>
          <w:sz w:val="20"/>
        </w:rPr>
        <w:t xml:space="preserve"> r</w:t>
      </w:r>
      <w:r>
        <w:rPr>
          <w:rFonts w:ascii="Arial" w:hAnsi="Arial" w:cs="Arial"/>
          <w:sz w:val="20"/>
        </w:rPr>
        <w:t>eplicate the actual experiences</w:t>
      </w:r>
      <w:r w:rsidR="005B3D00">
        <w:rPr>
          <w:rFonts w:ascii="Arial" w:hAnsi="Arial" w:cs="Arial"/>
          <w:sz w:val="20"/>
        </w:rPr>
        <w:t xml:space="preserve"> and deposit run-off</w:t>
      </w:r>
      <w:r>
        <w:rPr>
          <w:rFonts w:ascii="Arial" w:hAnsi="Arial" w:cs="Arial"/>
          <w:sz w:val="20"/>
        </w:rPr>
        <w:t xml:space="preserve"> of </w:t>
      </w:r>
      <w:r w:rsidR="005B3D00">
        <w:rPr>
          <w:rFonts w:ascii="Arial" w:hAnsi="Arial" w:cs="Arial"/>
          <w:sz w:val="20"/>
        </w:rPr>
        <w:t>financial institutions</w:t>
      </w:r>
      <w:r w:rsidR="002B73F0">
        <w:rPr>
          <w:rFonts w:ascii="Arial" w:hAnsi="Arial" w:cs="Arial"/>
          <w:sz w:val="20"/>
        </w:rPr>
        <w:t xml:space="preserve"> which have experienced considerable stress</w:t>
      </w:r>
      <w:r w:rsidR="005B3D00">
        <w:rPr>
          <w:rFonts w:ascii="Arial" w:hAnsi="Arial" w:cs="Arial"/>
          <w:sz w:val="20"/>
        </w:rPr>
        <w:t>.</w:t>
      </w:r>
    </w:p>
    <w:p w:rsidR="00C94B97" w:rsidRPr="00C276E6" w:rsidRDefault="00C94B97" w:rsidP="00D60747">
      <w:pPr>
        <w:numPr>
          <w:ilvl w:val="1"/>
          <w:numId w:val="6"/>
        </w:numPr>
        <w:tabs>
          <w:tab w:val="clear" w:pos="1440"/>
          <w:tab w:val="num" w:pos="1080"/>
        </w:tabs>
        <w:spacing w:line="240" w:lineRule="atLeast"/>
        <w:ind w:left="1080"/>
        <w:rPr>
          <w:rFonts w:ascii="Arial" w:hAnsi="Arial" w:cs="Arial"/>
          <w:sz w:val="20"/>
        </w:rPr>
      </w:pPr>
      <w:r w:rsidRPr="00D60747">
        <w:rPr>
          <w:rFonts w:ascii="Arial" w:hAnsi="Arial" w:cs="Arial"/>
          <w:sz w:val="20"/>
          <w:u w:val="single"/>
        </w:rPr>
        <w:t>Reverse Stress Test</w:t>
      </w:r>
      <w:r>
        <w:rPr>
          <w:rFonts w:ascii="Arial" w:hAnsi="Arial" w:cs="Arial"/>
          <w:sz w:val="20"/>
        </w:rPr>
        <w:t xml:space="preserve"> </w:t>
      </w:r>
      <w:r w:rsidR="002B73F0">
        <w:rPr>
          <w:rFonts w:ascii="Arial" w:hAnsi="Arial" w:cs="Arial"/>
          <w:sz w:val="20"/>
        </w:rPr>
        <w:t>–</w:t>
      </w:r>
      <w:r>
        <w:rPr>
          <w:rFonts w:ascii="Arial" w:hAnsi="Arial" w:cs="Arial"/>
          <w:sz w:val="20"/>
        </w:rPr>
        <w:t xml:space="preserve"> </w:t>
      </w:r>
      <w:r w:rsidR="002B73F0">
        <w:rPr>
          <w:rFonts w:ascii="Arial" w:hAnsi="Arial" w:cs="Arial"/>
          <w:sz w:val="20"/>
        </w:rPr>
        <w:t>An analysis of</w:t>
      </w:r>
      <w:r w:rsidRPr="00D60747">
        <w:rPr>
          <w:rFonts w:ascii="Arial" w:hAnsi="Arial" w:cs="Arial"/>
          <w:sz w:val="20"/>
        </w:rPr>
        <w:t xml:space="preserve"> the amount of deposit migration which would </w:t>
      </w:r>
      <w:r w:rsidR="008F5519">
        <w:rPr>
          <w:rFonts w:ascii="Arial" w:hAnsi="Arial" w:cs="Arial"/>
          <w:sz w:val="20"/>
        </w:rPr>
        <w:t>exhaust</w:t>
      </w:r>
      <w:r w:rsidRPr="00D60747">
        <w:rPr>
          <w:rFonts w:ascii="Arial" w:hAnsi="Arial" w:cs="Arial"/>
          <w:sz w:val="20"/>
        </w:rPr>
        <w:t xml:space="preserve"> all contingent liquidity.</w:t>
      </w:r>
    </w:p>
    <w:p w:rsidR="00D60747" w:rsidRDefault="00D60747" w:rsidP="00C94B97">
      <w:pPr>
        <w:numPr>
          <w:ilvl w:val="1"/>
          <w:numId w:val="6"/>
        </w:numPr>
        <w:tabs>
          <w:tab w:val="clear" w:pos="1440"/>
          <w:tab w:val="num" w:pos="1080"/>
        </w:tabs>
        <w:spacing w:line="240" w:lineRule="atLeast"/>
        <w:ind w:left="1080"/>
        <w:rPr>
          <w:rFonts w:ascii="Arial" w:hAnsi="Arial" w:cs="Arial"/>
          <w:sz w:val="20"/>
        </w:rPr>
      </w:pPr>
      <w:r w:rsidRPr="00D60747">
        <w:rPr>
          <w:rFonts w:ascii="Arial" w:hAnsi="Arial" w:cs="Arial"/>
          <w:sz w:val="20"/>
          <w:u w:val="single"/>
        </w:rPr>
        <w:t>Enterprise-wide Stress</w:t>
      </w:r>
      <w:r w:rsidR="006379AE">
        <w:rPr>
          <w:rFonts w:ascii="Arial" w:hAnsi="Arial" w:cs="Arial"/>
          <w:sz w:val="20"/>
          <w:u w:val="single"/>
        </w:rPr>
        <w:t xml:space="preserve"> Test</w:t>
      </w:r>
      <w:r w:rsidR="006379AE" w:rsidRPr="006379AE">
        <w:rPr>
          <w:rFonts w:ascii="Arial" w:hAnsi="Arial" w:cs="Arial"/>
          <w:sz w:val="20"/>
        </w:rPr>
        <w:t xml:space="preserve"> </w:t>
      </w:r>
      <w:r>
        <w:rPr>
          <w:rFonts w:ascii="Arial" w:hAnsi="Arial" w:cs="Arial"/>
          <w:sz w:val="20"/>
        </w:rPr>
        <w:t xml:space="preserve">– </w:t>
      </w:r>
      <w:r w:rsidR="00710B37" w:rsidRPr="00710B37">
        <w:rPr>
          <w:rFonts w:ascii="Arial" w:hAnsi="Arial" w:cs="Arial"/>
          <w:sz w:val="20"/>
        </w:rPr>
        <w:t>Approximately e</w:t>
      </w:r>
      <w:r w:rsidR="00C94B97" w:rsidRPr="00710B37">
        <w:rPr>
          <w:rFonts w:ascii="Arial" w:hAnsi="Arial" w:cs="Arial"/>
          <w:sz w:val="20"/>
        </w:rPr>
        <w:t xml:space="preserve">ach quarter </w:t>
      </w:r>
      <w:r w:rsidRPr="00710B37">
        <w:rPr>
          <w:rFonts w:ascii="Arial" w:hAnsi="Arial" w:cs="Arial"/>
          <w:sz w:val="20"/>
        </w:rPr>
        <w:t>ALM</w:t>
      </w:r>
      <w:r>
        <w:rPr>
          <w:rFonts w:ascii="Arial" w:hAnsi="Arial" w:cs="Arial"/>
          <w:sz w:val="20"/>
        </w:rPr>
        <w:t xml:space="preserve"> </w:t>
      </w:r>
      <w:r w:rsidR="00C94B97">
        <w:rPr>
          <w:rFonts w:ascii="Arial" w:hAnsi="Arial" w:cs="Arial"/>
          <w:sz w:val="20"/>
        </w:rPr>
        <w:t>produces</w:t>
      </w:r>
      <w:r>
        <w:rPr>
          <w:rFonts w:ascii="Arial" w:hAnsi="Arial" w:cs="Arial"/>
          <w:sz w:val="20"/>
        </w:rPr>
        <w:t xml:space="preserve"> </w:t>
      </w:r>
      <w:r w:rsidR="00C94B97">
        <w:rPr>
          <w:rFonts w:ascii="Arial" w:hAnsi="Arial" w:cs="Arial"/>
          <w:sz w:val="20"/>
        </w:rPr>
        <w:t xml:space="preserve">a </w:t>
      </w:r>
      <w:r>
        <w:rPr>
          <w:rFonts w:ascii="Arial" w:hAnsi="Arial" w:cs="Arial"/>
          <w:sz w:val="20"/>
        </w:rPr>
        <w:t>Liquidity Stress Test</w:t>
      </w:r>
      <w:r w:rsidR="00C94B97">
        <w:rPr>
          <w:rFonts w:ascii="Arial" w:hAnsi="Arial" w:cs="Arial"/>
          <w:sz w:val="20"/>
        </w:rPr>
        <w:t xml:space="preserve"> </w:t>
      </w:r>
      <w:r>
        <w:rPr>
          <w:rFonts w:ascii="Arial" w:hAnsi="Arial" w:cs="Arial"/>
          <w:sz w:val="20"/>
        </w:rPr>
        <w:t xml:space="preserve">based on </w:t>
      </w:r>
      <w:r w:rsidR="005B3D00">
        <w:rPr>
          <w:rFonts w:ascii="Arial" w:hAnsi="Arial" w:cs="Arial"/>
          <w:sz w:val="20"/>
        </w:rPr>
        <w:t>a</w:t>
      </w:r>
      <w:r w:rsidR="00C94B97">
        <w:rPr>
          <w:rFonts w:ascii="Arial" w:hAnsi="Arial" w:cs="Arial"/>
          <w:sz w:val="20"/>
        </w:rPr>
        <w:t>n</w:t>
      </w:r>
      <w:r w:rsidR="005B3D00">
        <w:rPr>
          <w:rFonts w:ascii="Arial" w:hAnsi="Arial" w:cs="Arial"/>
          <w:sz w:val="20"/>
        </w:rPr>
        <w:t xml:space="preserve"> </w:t>
      </w:r>
      <w:r w:rsidR="00C94B97">
        <w:rPr>
          <w:rFonts w:ascii="Arial" w:hAnsi="Arial" w:cs="Arial"/>
          <w:sz w:val="20"/>
        </w:rPr>
        <w:t xml:space="preserve">enterprise-wide </w:t>
      </w:r>
      <w:r w:rsidR="005B3D00">
        <w:rPr>
          <w:rFonts w:ascii="Arial" w:hAnsi="Arial" w:cs="Arial"/>
          <w:sz w:val="20"/>
        </w:rPr>
        <w:t xml:space="preserve">stress </w:t>
      </w:r>
      <w:r>
        <w:rPr>
          <w:rFonts w:ascii="Arial" w:hAnsi="Arial" w:cs="Arial"/>
          <w:sz w:val="20"/>
        </w:rPr>
        <w:t>scenario</w:t>
      </w:r>
      <w:r w:rsidR="005B3D00">
        <w:rPr>
          <w:rFonts w:ascii="Arial" w:hAnsi="Arial" w:cs="Arial"/>
          <w:sz w:val="20"/>
        </w:rPr>
        <w:t xml:space="preserve"> </w:t>
      </w:r>
      <w:r>
        <w:rPr>
          <w:rFonts w:ascii="Arial" w:hAnsi="Arial" w:cs="Arial"/>
          <w:sz w:val="20"/>
        </w:rPr>
        <w:t>developed by Risk Management</w:t>
      </w:r>
      <w:r w:rsidR="00E73D9C">
        <w:rPr>
          <w:rFonts w:ascii="Arial" w:hAnsi="Arial" w:cs="Arial"/>
          <w:sz w:val="20"/>
        </w:rPr>
        <w:t xml:space="preserve"> and informed by each business</w:t>
      </w:r>
      <w:r w:rsidR="005B3D00">
        <w:rPr>
          <w:rFonts w:ascii="Arial" w:hAnsi="Arial" w:cs="Arial"/>
          <w:sz w:val="20"/>
        </w:rPr>
        <w:t>.  These tests</w:t>
      </w:r>
      <w:r w:rsidR="006379AE">
        <w:rPr>
          <w:rFonts w:ascii="Arial" w:hAnsi="Arial" w:cs="Arial"/>
          <w:sz w:val="20"/>
        </w:rPr>
        <w:t xml:space="preserve"> analyze </w:t>
      </w:r>
      <w:r w:rsidR="00C94B97">
        <w:rPr>
          <w:rFonts w:ascii="Arial" w:hAnsi="Arial" w:cs="Arial"/>
          <w:sz w:val="20"/>
        </w:rPr>
        <w:t>potential</w:t>
      </w:r>
      <w:r w:rsidR="006379AE">
        <w:rPr>
          <w:rFonts w:ascii="Arial" w:hAnsi="Arial" w:cs="Arial"/>
          <w:sz w:val="20"/>
        </w:rPr>
        <w:t xml:space="preserve"> market-wide event</w:t>
      </w:r>
      <w:r w:rsidR="005B3D00">
        <w:rPr>
          <w:rFonts w:ascii="Arial" w:hAnsi="Arial" w:cs="Arial"/>
          <w:sz w:val="20"/>
        </w:rPr>
        <w:t>s</w:t>
      </w:r>
      <w:r w:rsidR="006379AE">
        <w:rPr>
          <w:rFonts w:ascii="Arial" w:hAnsi="Arial" w:cs="Arial"/>
          <w:sz w:val="20"/>
        </w:rPr>
        <w:t xml:space="preserve"> or</w:t>
      </w:r>
      <w:r w:rsidR="005B3D00">
        <w:rPr>
          <w:rFonts w:ascii="Arial" w:hAnsi="Arial" w:cs="Arial"/>
          <w:sz w:val="20"/>
        </w:rPr>
        <w:t xml:space="preserve"> </w:t>
      </w:r>
      <w:r w:rsidR="006379AE">
        <w:rPr>
          <w:rFonts w:ascii="Arial" w:hAnsi="Arial" w:cs="Arial"/>
          <w:sz w:val="20"/>
        </w:rPr>
        <w:t>situation</w:t>
      </w:r>
      <w:r w:rsidR="005B3D00">
        <w:rPr>
          <w:rFonts w:ascii="Arial" w:hAnsi="Arial" w:cs="Arial"/>
          <w:sz w:val="20"/>
        </w:rPr>
        <w:t>s</w:t>
      </w:r>
      <w:r w:rsidR="006379AE">
        <w:rPr>
          <w:rFonts w:ascii="Arial" w:hAnsi="Arial" w:cs="Arial"/>
          <w:sz w:val="20"/>
        </w:rPr>
        <w:t xml:space="preserve"> arising within </w:t>
      </w:r>
      <w:r w:rsidR="005B3D00">
        <w:rPr>
          <w:rFonts w:ascii="Arial" w:hAnsi="Arial" w:cs="Arial"/>
          <w:sz w:val="20"/>
        </w:rPr>
        <w:t>t</w:t>
      </w:r>
      <w:r w:rsidR="006379AE">
        <w:rPr>
          <w:rFonts w:ascii="Arial" w:hAnsi="Arial" w:cs="Arial"/>
          <w:sz w:val="20"/>
        </w:rPr>
        <w:t xml:space="preserve">he Company.  </w:t>
      </w:r>
    </w:p>
    <w:p w:rsidR="00D60747" w:rsidRDefault="00D60747" w:rsidP="00D60747">
      <w:pPr>
        <w:numPr>
          <w:ilvl w:val="1"/>
          <w:numId w:val="6"/>
        </w:numPr>
        <w:tabs>
          <w:tab w:val="clear" w:pos="1440"/>
          <w:tab w:val="num" w:pos="1080"/>
        </w:tabs>
        <w:spacing w:line="240" w:lineRule="atLeast"/>
        <w:ind w:left="1080"/>
        <w:rPr>
          <w:rFonts w:ascii="Arial" w:hAnsi="Arial" w:cs="Arial"/>
          <w:sz w:val="20"/>
        </w:rPr>
      </w:pPr>
      <w:r w:rsidRPr="00D60747">
        <w:rPr>
          <w:rFonts w:ascii="Arial" w:hAnsi="Arial" w:cs="Arial"/>
          <w:sz w:val="20"/>
          <w:u w:val="single"/>
        </w:rPr>
        <w:lastRenderedPageBreak/>
        <w:t>Intraday Liquidity Stress Test</w:t>
      </w:r>
      <w:r>
        <w:rPr>
          <w:rFonts w:ascii="Arial" w:hAnsi="Arial" w:cs="Arial"/>
          <w:sz w:val="20"/>
        </w:rPr>
        <w:t xml:space="preserve"> - </w:t>
      </w:r>
      <w:r w:rsidR="00912744">
        <w:rPr>
          <w:rFonts w:ascii="Arial" w:hAnsi="Arial" w:cs="Arial"/>
          <w:sz w:val="20"/>
        </w:rPr>
        <w:t>ALM</w:t>
      </w:r>
      <w:r>
        <w:rPr>
          <w:rFonts w:ascii="Arial" w:hAnsi="Arial" w:cs="Arial"/>
          <w:sz w:val="20"/>
        </w:rPr>
        <w:t xml:space="preserve"> will also conduct intraday stress tests</w:t>
      </w:r>
      <w:r w:rsidR="00B07B21">
        <w:rPr>
          <w:rFonts w:ascii="Arial" w:hAnsi="Arial" w:cs="Arial"/>
          <w:sz w:val="20"/>
        </w:rPr>
        <w:t xml:space="preserve"> </w:t>
      </w:r>
      <w:r w:rsidR="00D80A89">
        <w:rPr>
          <w:rFonts w:ascii="Arial" w:hAnsi="Arial" w:cs="Arial"/>
          <w:sz w:val="20"/>
        </w:rPr>
        <w:t xml:space="preserve">at </w:t>
      </w:r>
      <w:r w:rsidR="00D80A89" w:rsidRPr="00D80A89">
        <w:rPr>
          <w:rFonts w:ascii="Arial" w:hAnsi="Arial" w:cs="Arial"/>
          <w:sz w:val="20"/>
        </w:rPr>
        <w:t xml:space="preserve">least </w:t>
      </w:r>
      <w:r w:rsidR="00B07B21" w:rsidRPr="00D80A89">
        <w:rPr>
          <w:rFonts w:ascii="Arial" w:hAnsi="Arial" w:cs="Arial"/>
          <w:sz w:val="20"/>
        </w:rPr>
        <w:t>annually</w:t>
      </w:r>
      <w:r>
        <w:rPr>
          <w:rFonts w:ascii="Arial" w:hAnsi="Arial" w:cs="Arial"/>
          <w:sz w:val="20"/>
        </w:rPr>
        <w:t xml:space="preserve"> to evaluate the liquidity risks from operational failures within the Company’s operating business, with results reported to ALCO</w:t>
      </w:r>
      <w:r w:rsidR="00D80A89">
        <w:rPr>
          <w:rFonts w:ascii="Arial" w:hAnsi="Arial" w:cs="Arial"/>
          <w:sz w:val="20"/>
        </w:rPr>
        <w:t xml:space="preserve"> or a sub-committee thereof</w:t>
      </w:r>
      <w:r>
        <w:rPr>
          <w:rFonts w:ascii="Arial" w:hAnsi="Arial" w:cs="Arial"/>
          <w:sz w:val="20"/>
        </w:rPr>
        <w:t>.</w:t>
      </w:r>
    </w:p>
    <w:p w:rsidR="00E547AF" w:rsidRDefault="00971729" w:rsidP="00CD14AA">
      <w:pPr>
        <w:pStyle w:val="Heading2"/>
        <w:numPr>
          <w:ilvl w:val="0"/>
          <w:numId w:val="6"/>
        </w:numPr>
        <w:autoSpaceDE w:val="0"/>
        <w:spacing w:before="240" w:line="240" w:lineRule="atLeast"/>
        <w:ind w:hanging="720"/>
        <w:rPr>
          <w:rFonts w:ascii="Arial" w:hAnsi="Arial" w:cs="Arial"/>
          <w:smallCaps w:val="0"/>
          <w:sz w:val="20"/>
          <w:u w:val="none"/>
        </w:rPr>
      </w:pPr>
      <w:bookmarkStart w:id="12" w:name="_Guideline_on_Deposit"/>
      <w:bookmarkStart w:id="13" w:name="_Toc302482346"/>
      <w:bookmarkEnd w:id="12"/>
      <w:r>
        <w:rPr>
          <w:rFonts w:ascii="Arial" w:hAnsi="Arial" w:cs="Arial"/>
          <w:smallCaps w:val="0"/>
          <w:sz w:val="20"/>
          <w:u w:val="none"/>
        </w:rPr>
        <w:t>Assumptions</w:t>
      </w:r>
      <w:bookmarkEnd w:id="13"/>
    </w:p>
    <w:p w:rsidR="000420C6" w:rsidRPr="000420C6" w:rsidRDefault="000420C6" w:rsidP="000420C6">
      <w:pPr>
        <w:spacing w:line="240" w:lineRule="atLeast"/>
        <w:ind w:left="720"/>
        <w:rPr>
          <w:rFonts w:ascii="Arial" w:hAnsi="Arial" w:cs="Arial"/>
          <w:sz w:val="20"/>
        </w:rPr>
      </w:pPr>
      <w:r w:rsidRPr="000420C6">
        <w:rPr>
          <w:rFonts w:ascii="Arial" w:hAnsi="Arial" w:cs="Arial"/>
          <w:sz w:val="20"/>
        </w:rPr>
        <w:t xml:space="preserve">Significant assumptions </w:t>
      </w:r>
      <w:r w:rsidR="00A1060C">
        <w:rPr>
          <w:rFonts w:ascii="Arial" w:hAnsi="Arial" w:cs="Arial"/>
          <w:sz w:val="20"/>
        </w:rPr>
        <w:t xml:space="preserve">used in the Liquidity Stress Tests </w:t>
      </w:r>
      <w:r w:rsidRPr="000420C6">
        <w:rPr>
          <w:rFonts w:ascii="Arial" w:hAnsi="Arial" w:cs="Arial"/>
          <w:sz w:val="20"/>
        </w:rPr>
        <w:t>include the following</w:t>
      </w:r>
      <w:r w:rsidR="00A1060C">
        <w:rPr>
          <w:rFonts w:ascii="Arial" w:hAnsi="Arial" w:cs="Arial"/>
          <w:sz w:val="20"/>
        </w:rPr>
        <w:t>, unless the specific scenario requires alternative treatment</w:t>
      </w:r>
      <w:r w:rsidRPr="000420C6">
        <w:rPr>
          <w:rFonts w:ascii="Arial" w:hAnsi="Arial" w:cs="Arial"/>
          <w:sz w:val="20"/>
        </w:rPr>
        <w:t>:</w:t>
      </w:r>
    </w:p>
    <w:p w:rsidR="000420C6" w:rsidRPr="000420C6" w:rsidRDefault="000420C6" w:rsidP="000420C6">
      <w:pPr>
        <w:pStyle w:val="BodyTextIndent"/>
        <w:numPr>
          <w:ilvl w:val="0"/>
          <w:numId w:val="28"/>
        </w:numPr>
        <w:tabs>
          <w:tab w:val="clear" w:pos="180"/>
          <w:tab w:val="clear" w:pos="2160"/>
          <w:tab w:val="num" w:pos="1440"/>
        </w:tabs>
        <w:spacing w:line="240" w:lineRule="atLeast"/>
        <w:ind w:left="1440"/>
        <w:rPr>
          <w:rFonts w:ascii="Arial" w:hAnsi="Arial" w:cs="Arial"/>
          <w:sz w:val="20"/>
        </w:rPr>
      </w:pPr>
      <w:r w:rsidRPr="000420C6">
        <w:rPr>
          <w:rFonts w:ascii="Arial" w:hAnsi="Arial" w:cs="Arial"/>
          <w:sz w:val="20"/>
        </w:rPr>
        <w:t>Discount window remains “open”</w:t>
      </w:r>
    </w:p>
    <w:p w:rsidR="000420C6" w:rsidRPr="000420C6" w:rsidRDefault="000420C6" w:rsidP="000420C6">
      <w:pPr>
        <w:pStyle w:val="BodyTextIndent"/>
        <w:numPr>
          <w:ilvl w:val="0"/>
          <w:numId w:val="28"/>
        </w:numPr>
        <w:tabs>
          <w:tab w:val="clear" w:pos="180"/>
          <w:tab w:val="clear" w:pos="2160"/>
          <w:tab w:val="num" w:pos="1440"/>
        </w:tabs>
        <w:spacing w:line="240" w:lineRule="atLeast"/>
        <w:ind w:left="1440"/>
        <w:rPr>
          <w:rFonts w:ascii="Arial" w:hAnsi="Arial" w:cs="Arial"/>
          <w:sz w:val="20"/>
        </w:rPr>
      </w:pPr>
      <w:r w:rsidRPr="000420C6">
        <w:rPr>
          <w:rFonts w:ascii="Arial" w:hAnsi="Arial" w:cs="Arial"/>
          <w:sz w:val="20"/>
        </w:rPr>
        <w:t>BNY Mellon is unable to borrow in the capital markets</w:t>
      </w:r>
    </w:p>
    <w:p w:rsidR="000420C6" w:rsidRPr="000420C6" w:rsidRDefault="000420C6" w:rsidP="000420C6">
      <w:pPr>
        <w:pStyle w:val="BodyTextIndent"/>
        <w:numPr>
          <w:ilvl w:val="0"/>
          <w:numId w:val="28"/>
        </w:numPr>
        <w:tabs>
          <w:tab w:val="clear" w:pos="180"/>
          <w:tab w:val="clear" w:pos="2160"/>
          <w:tab w:val="num" w:pos="1440"/>
        </w:tabs>
        <w:spacing w:line="240" w:lineRule="atLeast"/>
        <w:ind w:left="1440"/>
        <w:rPr>
          <w:rFonts w:ascii="Arial" w:hAnsi="Arial" w:cs="Arial"/>
          <w:sz w:val="20"/>
        </w:rPr>
      </w:pPr>
      <w:r w:rsidRPr="000420C6">
        <w:rPr>
          <w:rFonts w:ascii="Arial" w:hAnsi="Arial" w:cs="Arial"/>
          <w:sz w:val="20"/>
        </w:rPr>
        <w:t>BNY Mellon can borrow with a high haircut on a secured basis</w:t>
      </w:r>
    </w:p>
    <w:p w:rsidR="000420C6" w:rsidRPr="000420C6" w:rsidRDefault="000420C6" w:rsidP="000420C6">
      <w:pPr>
        <w:pStyle w:val="BodyTextIndent"/>
        <w:numPr>
          <w:ilvl w:val="0"/>
          <w:numId w:val="28"/>
        </w:numPr>
        <w:tabs>
          <w:tab w:val="clear" w:pos="180"/>
          <w:tab w:val="clear" w:pos="2160"/>
          <w:tab w:val="num" w:pos="1440"/>
        </w:tabs>
        <w:spacing w:line="240" w:lineRule="atLeast"/>
        <w:ind w:left="1440"/>
        <w:rPr>
          <w:rFonts w:ascii="Arial" w:hAnsi="Arial" w:cs="Arial"/>
          <w:sz w:val="20"/>
        </w:rPr>
      </w:pPr>
      <w:r w:rsidRPr="000420C6">
        <w:rPr>
          <w:rFonts w:ascii="Arial" w:hAnsi="Arial" w:cs="Arial"/>
          <w:sz w:val="20"/>
        </w:rPr>
        <w:t>BNY Mellon can convert assets and liabilities across legal vehicles</w:t>
      </w:r>
    </w:p>
    <w:p w:rsidR="000420C6" w:rsidRDefault="000420C6" w:rsidP="000420C6">
      <w:pPr>
        <w:pStyle w:val="BodyTextIndent"/>
        <w:numPr>
          <w:ilvl w:val="0"/>
          <w:numId w:val="28"/>
        </w:numPr>
        <w:tabs>
          <w:tab w:val="clear" w:pos="180"/>
          <w:tab w:val="clear" w:pos="2160"/>
          <w:tab w:val="num" w:pos="1440"/>
        </w:tabs>
        <w:spacing w:line="240" w:lineRule="atLeast"/>
        <w:ind w:left="1440"/>
        <w:rPr>
          <w:rFonts w:ascii="Arial" w:hAnsi="Arial" w:cs="Arial"/>
          <w:sz w:val="20"/>
        </w:rPr>
      </w:pPr>
      <w:r w:rsidRPr="000420C6">
        <w:rPr>
          <w:rFonts w:ascii="Arial" w:hAnsi="Arial" w:cs="Arial"/>
          <w:sz w:val="20"/>
        </w:rPr>
        <w:t>BNY Mellon can conduct foreign exchange transactions across currencies</w:t>
      </w:r>
    </w:p>
    <w:p w:rsidR="000420C6" w:rsidRPr="000420C6" w:rsidRDefault="000420C6" w:rsidP="000420C6">
      <w:pPr>
        <w:spacing w:line="240" w:lineRule="atLeast"/>
        <w:ind w:left="720"/>
        <w:rPr>
          <w:rFonts w:ascii="Arial" w:hAnsi="Arial" w:cs="Arial"/>
          <w:sz w:val="20"/>
        </w:rPr>
      </w:pPr>
    </w:p>
    <w:p w:rsidR="00A1060C" w:rsidRDefault="00A1060C" w:rsidP="00A1060C">
      <w:pPr>
        <w:spacing w:line="240" w:lineRule="atLeast"/>
        <w:ind w:left="720"/>
        <w:rPr>
          <w:rFonts w:ascii="Arial" w:hAnsi="Arial" w:cs="Arial"/>
          <w:sz w:val="20"/>
        </w:rPr>
      </w:pPr>
      <w:r>
        <w:rPr>
          <w:rFonts w:ascii="Arial" w:hAnsi="Arial" w:cs="Arial"/>
          <w:sz w:val="20"/>
        </w:rPr>
        <w:t>ALM makes various assumptions regarding various balance sheet items, which are based on historical experience and professional judgment.  These assumptions</w:t>
      </w:r>
      <w:r w:rsidR="00912744">
        <w:rPr>
          <w:rFonts w:ascii="Arial" w:hAnsi="Arial" w:cs="Arial"/>
          <w:sz w:val="20"/>
        </w:rPr>
        <w:t xml:space="preserve"> and their rationale</w:t>
      </w:r>
      <w:r>
        <w:rPr>
          <w:rFonts w:ascii="Arial" w:hAnsi="Arial" w:cs="Arial"/>
          <w:sz w:val="20"/>
        </w:rPr>
        <w:t xml:space="preserve"> are documented in the Liquidity Stress Test documentation produced by ALM.</w:t>
      </w:r>
    </w:p>
    <w:p w:rsidR="00A136FA" w:rsidRDefault="00A136FA" w:rsidP="00A1060C">
      <w:pPr>
        <w:spacing w:line="240" w:lineRule="atLeast"/>
        <w:ind w:left="720"/>
        <w:rPr>
          <w:rFonts w:ascii="Arial" w:hAnsi="Arial" w:cs="Arial"/>
          <w:sz w:val="20"/>
        </w:rPr>
      </w:pPr>
    </w:p>
    <w:p w:rsidR="00E547AF" w:rsidRDefault="0027712D" w:rsidP="00CD14AA">
      <w:pPr>
        <w:pStyle w:val="Heading2"/>
        <w:numPr>
          <w:ilvl w:val="0"/>
          <w:numId w:val="6"/>
        </w:numPr>
        <w:autoSpaceDE w:val="0"/>
        <w:spacing w:before="240" w:line="240" w:lineRule="atLeast"/>
        <w:ind w:hanging="720"/>
        <w:rPr>
          <w:rFonts w:ascii="Arial" w:hAnsi="Arial" w:cs="Arial"/>
          <w:smallCaps w:val="0"/>
          <w:sz w:val="20"/>
          <w:u w:val="none"/>
        </w:rPr>
      </w:pPr>
      <w:bookmarkStart w:id="14" w:name="_Long_Term_Debt"/>
      <w:bookmarkStart w:id="15" w:name="_Toc302482347"/>
      <w:bookmarkEnd w:id="14"/>
      <w:r>
        <w:rPr>
          <w:rFonts w:ascii="Arial" w:hAnsi="Arial" w:cs="Arial"/>
          <w:smallCaps w:val="0"/>
          <w:sz w:val="20"/>
          <w:u w:val="none"/>
        </w:rPr>
        <w:t>Data Sources</w:t>
      </w:r>
      <w:bookmarkEnd w:id="15"/>
    </w:p>
    <w:p w:rsidR="00D47CE2" w:rsidRPr="00F93D1D" w:rsidRDefault="00F93D1D" w:rsidP="00D47CE2">
      <w:pPr>
        <w:pStyle w:val="BodyText"/>
        <w:spacing w:after="120" w:line="240" w:lineRule="atLeast"/>
        <w:ind w:left="720"/>
        <w:rPr>
          <w:rFonts w:ascii="Arial" w:hAnsi="Arial" w:cs="Arial"/>
          <w:sz w:val="20"/>
        </w:rPr>
      </w:pPr>
      <w:r w:rsidRPr="00F93D1D">
        <w:rPr>
          <w:rFonts w:ascii="Arial" w:hAnsi="Arial" w:cs="Arial"/>
          <w:sz w:val="20"/>
        </w:rPr>
        <w:t>The data used in the analysis is sourced primarily from balance sheet tracking reports created by Treasury Controllers and the ALM database (ALMIS).</w:t>
      </w:r>
      <w:r w:rsidR="00605652">
        <w:rPr>
          <w:rFonts w:ascii="Arial" w:hAnsi="Arial" w:cs="Arial"/>
          <w:sz w:val="20"/>
        </w:rPr>
        <w:t xml:space="preserve">  Other data is obtained from various sources, as documented in the Liquidity Stress Test materials.</w:t>
      </w:r>
    </w:p>
    <w:p w:rsidR="00E547AF" w:rsidRDefault="00EE0722" w:rsidP="00CD14AA">
      <w:pPr>
        <w:pStyle w:val="Heading1"/>
        <w:numPr>
          <w:ilvl w:val="0"/>
          <w:numId w:val="5"/>
        </w:numPr>
        <w:tabs>
          <w:tab w:val="clear" w:pos="360"/>
          <w:tab w:val="num" w:pos="0"/>
        </w:tabs>
        <w:autoSpaceDE w:val="0"/>
        <w:spacing w:before="360" w:after="120" w:line="240" w:lineRule="atLeast"/>
        <w:ind w:left="0" w:hanging="540"/>
        <w:rPr>
          <w:rFonts w:ascii="Arial" w:hAnsi="Arial" w:cs="Arial"/>
          <w:smallCaps w:val="0"/>
          <w:sz w:val="24"/>
        </w:rPr>
      </w:pPr>
      <w:bookmarkStart w:id="16" w:name="_Pre-funded_Debt_Repayments"/>
      <w:bookmarkStart w:id="17" w:name="_Short-term_Debt"/>
      <w:bookmarkStart w:id="18" w:name="_Borrowings_from_The"/>
      <w:bookmarkStart w:id="19" w:name="_Liquidity_Management"/>
      <w:bookmarkStart w:id="20" w:name="_Toc302482348"/>
      <w:bookmarkEnd w:id="16"/>
      <w:bookmarkEnd w:id="17"/>
      <w:bookmarkEnd w:id="18"/>
      <w:bookmarkEnd w:id="19"/>
      <w:r w:rsidRPr="00EA49A5">
        <w:rPr>
          <w:rFonts w:ascii="Arial" w:hAnsi="Arial" w:cs="Arial"/>
          <w:smallCaps w:val="0"/>
          <w:sz w:val="24"/>
        </w:rPr>
        <w:t>Governance</w:t>
      </w:r>
      <w:bookmarkEnd w:id="20"/>
    </w:p>
    <w:p w:rsidR="00E547AF" w:rsidRDefault="00B33646" w:rsidP="008232F0">
      <w:pPr>
        <w:pStyle w:val="BodyTextIndent"/>
        <w:spacing w:after="120" w:line="240" w:lineRule="atLeast"/>
        <w:ind w:left="0"/>
        <w:rPr>
          <w:rFonts w:ascii="Arial" w:hAnsi="Arial" w:cs="Arial"/>
          <w:sz w:val="20"/>
        </w:rPr>
      </w:pPr>
      <w:r w:rsidRPr="0040289A">
        <w:rPr>
          <w:rFonts w:ascii="Arial" w:hAnsi="Arial" w:cs="Arial"/>
          <w:sz w:val="20"/>
        </w:rPr>
        <w:t xml:space="preserve">ALCO is the senior management committee responsible for the oversight of liquidity </w:t>
      </w:r>
      <w:r w:rsidR="00CD14AA">
        <w:rPr>
          <w:rFonts w:ascii="Arial" w:hAnsi="Arial" w:cs="Arial"/>
          <w:sz w:val="20"/>
        </w:rPr>
        <w:t xml:space="preserve">risk at the Company. </w:t>
      </w:r>
      <w:r w:rsidR="008232F0">
        <w:rPr>
          <w:rFonts w:ascii="Arial" w:hAnsi="Arial" w:cs="Arial"/>
          <w:sz w:val="20"/>
        </w:rPr>
        <w:t>Senior management</w:t>
      </w:r>
      <w:r w:rsidRPr="0040289A">
        <w:rPr>
          <w:rFonts w:ascii="Arial" w:hAnsi="Arial" w:cs="Arial"/>
          <w:sz w:val="20"/>
        </w:rPr>
        <w:t xml:space="preserve"> is responsible to ensure that </w:t>
      </w:r>
      <w:r w:rsidR="008232F0">
        <w:rPr>
          <w:rFonts w:ascii="Arial" w:hAnsi="Arial" w:cs="Arial"/>
          <w:sz w:val="20"/>
        </w:rPr>
        <w:t xml:space="preserve">adequate liquidity is maintained and appropriate analysis is performed.  </w:t>
      </w:r>
      <w:r w:rsidR="00E547AF">
        <w:rPr>
          <w:rFonts w:ascii="Arial" w:hAnsi="Arial" w:cs="Arial"/>
          <w:sz w:val="20"/>
        </w:rPr>
        <w:t>Corporate Treasury has primary responsibi</w:t>
      </w:r>
      <w:r w:rsidR="007110DA">
        <w:rPr>
          <w:rFonts w:ascii="Arial" w:hAnsi="Arial" w:cs="Arial"/>
          <w:sz w:val="20"/>
        </w:rPr>
        <w:t xml:space="preserve">lity for </w:t>
      </w:r>
      <w:r w:rsidR="00EE683A">
        <w:rPr>
          <w:rFonts w:ascii="Arial" w:hAnsi="Arial" w:cs="Arial"/>
          <w:sz w:val="20"/>
        </w:rPr>
        <w:t>the analysis of the liquidity position of the Company, which includes Liquidity Stress Testing</w:t>
      </w:r>
      <w:r w:rsidR="007110DA">
        <w:rPr>
          <w:rFonts w:ascii="Arial" w:hAnsi="Arial" w:cs="Arial"/>
          <w:sz w:val="20"/>
        </w:rPr>
        <w:t xml:space="preserve">. </w:t>
      </w:r>
    </w:p>
    <w:p w:rsidR="00E547AF" w:rsidRDefault="00EE683A" w:rsidP="00CD14AA">
      <w:pPr>
        <w:pStyle w:val="Heading2"/>
        <w:numPr>
          <w:ilvl w:val="0"/>
          <w:numId w:val="23"/>
        </w:numPr>
        <w:autoSpaceDE w:val="0"/>
        <w:spacing w:before="240" w:line="240" w:lineRule="atLeast"/>
        <w:ind w:hanging="720"/>
        <w:rPr>
          <w:rFonts w:ascii="Arial" w:hAnsi="Arial" w:cs="Arial"/>
          <w:smallCaps w:val="0"/>
          <w:sz w:val="20"/>
          <w:u w:val="none"/>
        </w:rPr>
      </w:pPr>
      <w:bookmarkStart w:id="21" w:name="_Daily_Activity"/>
      <w:bookmarkStart w:id="22" w:name="_Intraday_Liquidity"/>
      <w:bookmarkStart w:id="23" w:name="_Toc302482349"/>
      <w:bookmarkEnd w:id="21"/>
      <w:bookmarkEnd w:id="22"/>
      <w:r>
        <w:rPr>
          <w:rFonts w:ascii="Arial" w:hAnsi="Arial" w:cs="Arial"/>
          <w:smallCaps w:val="0"/>
          <w:sz w:val="20"/>
          <w:u w:val="none"/>
        </w:rPr>
        <w:t>Ownership</w:t>
      </w:r>
      <w:bookmarkEnd w:id="23"/>
    </w:p>
    <w:p w:rsidR="00EE683A" w:rsidRDefault="00EE683A" w:rsidP="00912744">
      <w:pPr>
        <w:pStyle w:val="BodyTextIndent"/>
        <w:spacing w:after="120" w:line="240" w:lineRule="atLeast"/>
        <w:rPr>
          <w:rFonts w:ascii="Arial" w:hAnsi="Arial" w:cs="Arial"/>
          <w:sz w:val="20"/>
        </w:rPr>
      </w:pPr>
      <w:r w:rsidRPr="00EE683A">
        <w:rPr>
          <w:rFonts w:ascii="Arial" w:hAnsi="Arial" w:cs="Arial"/>
          <w:sz w:val="20"/>
        </w:rPr>
        <w:t>The Asset/Liability Management Group (ALM) in Corporate Treasury has</w:t>
      </w:r>
      <w:r w:rsidR="002865A9">
        <w:rPr>
          <w:rFonts w:ascii="Arial" w:hAnsi="Arial" w:cs="Arial"/>
          <w:sz w:val="20"/>
        </w:rPr>
        <w:t xml:space="preserve"> responsibility for conducting Liquidity Stress T</w:t>
      </w:r>
      <w:r w:rsidRPr="00EE683A">
        <w:rPr>
          <w:rFonts w:ascii="Arial" w:hAnsi="Arial" w:cs="Arial"/>
          <w:sz w:val="20"/>
        </w:rPr>
        <w:t>esting at The Bank of New York Mellon Corporation (“BNY Mellon”).</w:t>
      </w:r>
    </w:p>
    <w:p w:rsidR="00EE683A" w:rsidRDefault="00EE683A" w:rsidP="00EE683A">
      <w:pPr>
        <w:pStyle w:val="BodyTextIndent"/>
        <w:tabs>
          <w:tab w:val="clear" w:pos="180"/>
        </w:tabs>
        <w:spacing w:after="120" w:line="240" w:lineRule="atLeast"/>
        <w:rPr>
          <w:rFonts w:ascii="Arial" w:hAnsi="Arial" w:cs="Arial"/>
          <w:sz w:val="20"/>
        </w:rPr>
      </w:pPr>
      <w:r w:rsidRPr="0027712D">
        <w:rPr>
          <w:rFonts w:ascii="Arial" w:hAnsi="Arial" w:cs="Arial"/>
          <w:sz w:val="20"/>
        </w:rPr>
        <w:t xml:space="preserve">Calculations and assumptions used in the test are </w:t>
      </w:r>
      <w:r w:rsidR="008232F0">
        <w:rPr>
          <w:rFonts w:ascii="Arial" w:hAnsi="Arial" w:cs="Arial"/>
          <w:sz w:val="20"/>
        </w:rPr>
        <w:t xml:space="preserve">also </w:t>
      </w:r>
      <w:r w:rsidRPr="0027712D">
        <w:rPr>
          <w:rFonts w:ascii="Arial" w:hAnsi="Arial" w:cs="Arial"/>
          <w:sz w:val="20"/>
        </w:rPr>
        <w:t>verified by the Asset/Liability Management group</w:t>
      </w:r>
      <w:r w:rsidR="00912744">
        <w:rPr>
          <w:rFonts w:ascii="Arial" w:hAnsi="Arial" w:cs="Arial"/>
          <w:sz w:val="20"/>
        </w:rPr>
        <w:t xml:space="preserve"> as well as the Treasury Risk Committee</w:t>
      </w:r>
      <w:r w:rsidRPr="0027712D">
        <w:rPr>
          <w:rFonts w:ascii="Arial" w:hAnsi="Arial" w:cs="Arial"/>
          <w:sz w:val="20"/>
        </w:rPr>
        <w:t xml:space="preserve">.  </w:t>
      </w:r>
    </w:p>
    <w:p w:rsidR="00D80A89" w:rsidRDefault="00EE683A" w:rsidP="00EE683A">
      <w:pPr>
        <w:pStyle w:val="Heading2"/>
        <w:numPr>
          <w:ilvl w:val="0"/>
          <w:numId w:val="23"/>
        </w:numPr>
        <w:autoSpaceDE w:val="0"/>
        <w:spacing w:before="240" w:line="240" w:lineRule="atLeast"/>
        <w:ind w:hanging="720"/>
        <w:rPr>
          <w:rFonts w:ascii="Arial" w:hAnsi="Arial" w:cs="Arial"/>
          <w:smallCaps w:val="0"/>
          <w:sz w:val="20"/>
          <w:u w:val="none"/>
        </w:rPr>
      </w:pPr>
      <w:bookmarkStart w:id="24" w:name="_Toc302482350"/>
      <w:r>
        <w:rPr>
          <w:rFonts w:ascii="Arial" w:hAnsi="Arial" w:cs="Arial"/>
          <w:smallCaps w:val="0"/>
          <w:sz w:val="20"/>
          <w:u w:val="none"/>
        </w:rPr>
        <w:t>Reporting</w:t>
      </w:r>
      <w:bookmarkEnd w:id="24"/>
    </w:p>
    <w:p w:rsidR="00D80A89" w:rsidRPr="00D80A89" w:rsidRDefault="00D80A89" w:rsidP="00D80A89">
      <w:pPr>
        <w:pStyle w:val="BodyTextIndent"/>
        <w:tabs>
          <w:tab w:val="clear" w:pos="180"/>
        </w:tabs>
        <w:spacing w:after="120" w:line="240" w:lineRule="atLeast"/>
        <w:rPr>
          <w:rFonts w:ascii="Arial" w:hAnsi="Arial" w:cs="Arial"/>
          <w:sz w:val="20"/>
        </w:rPr>
      </w:pPr>
      <w:r>
        <w:rPr>
          <w:rFonts w:ascii="Arial" w:hAnsi="Arial" w:cs="Arial"/>
          <w:sz w:val="20"/>
        </w:rPr>
        <w:t xml:space="preserve">Corporate Treasury presents results and significant assumptions to ALCO and the Treasury Risk Committee.  </w:t>
      </w:r>
    </w:p>
    <w:p w:rsidR="00EE683A" w:rsidRDefault="00D80A89" w:rsidP="00EE683A">
      <w:pPr>
        <w:pStyle w:val="Heading2"/>
        <w:numPr>
          <w:ilvl w:val="0"/>
          <w:numId w:val="23"/>
        </w:numPr>
        <w:autoSpaceDE w:val="0"/>
        <w:spacing w:before="240" w:line="240" w:lineRule="atLeast"/>
        <w:ind w:hanging="720"/>
        <w:rPr>
          <w:rFonts w:ascii="Arial" w:hAnsi="Arial" w:cs="Arial"/>
          <w:smallCaps w:val="0"/>
          <w:sz w:val="20"/>
          <w:u w:val="none"/>
        </w:rPr>
      </w:pPr>
      <w:bookmarkStart w:id="25" w:name="_Toc302482351"/>
      <w:r>
        <w:rPr>
          <w:rFonts w:ascii="Arial" w:hAnsi="Arial" w:cs="Arial"/>
          <w:smallCaps w:val="0"/>
          <w:sz w:val="20"/>
          <w:u w:val="none"/>
        </w:rPr>
        <w:t>Independent Review</w:t>
      </w:r>
      <w:bookmarkEnd w:id="25"/>
      <w:r w:rsidR="00EE683A">
        <w:rPr>
          <w:rFonts w:ascii="Arial" w:hAnsi="Arial" w:cs="Arial"/>
          <w:smallCaps w:val="0"/>
          <w:sz w:val="20"/>
          <w:u w:val="none"/>
        </w:rPr>
        <w:t xml:space="preserve"> </w:t>
      </w:r>
    </w:p>
    <w:p w:rsidR="00EE683A" w:rsidRDefault="00D80A89" w:rsidP="0030293A">
      <w:pPr>
        <w:pStyle w:val="BodyTextIndent"/>
        <w:tabs>
          <w:tab w:val="clear" w:pos="180"/>
        </w:tabs>
        <w:spacing w:after="120" w:line="240" w:lineRule="atLeast"/>
        <w:rPr>
          <w:rFonts w:ascii="Arial" w:hAnsi="Arial" w:cs="Arial"/>
          <w:sz w:val="20"/>
        </w:rPr>
      </w:pPr>
      <w:r>
        <w:rPr>
          <w:rFonts w:ascii="Arial" w:hAnsi="Arial" w:cs="Arial"/>
          <w:sz w:val="20"/>
        </w:rPr>
        <w:t xml:space="preserve">Risk Management is responsible for reviewing the Liquidity Stress Test framework and results to ensure appropriate oversight.  This review includes the </w:t>
      </w:r>
      <w:r w:rsidR="008B43BC">
        <w:rPr>
          <w:rFonts w:ascii="Arial" w:hAnsi="Arial" w:cs="Arial"/>
          <w:sz w:val="20"/>
        </w:rPr>
        <w:t xml:space="preserve">liquidity </w:t>
      </w:r>
      <w:r w:rsidR="008232F0" w:rsidRPr="0027712D">
        <w:rPr>
          <w:rFonts w:ascii="Arial" w:hAnsi="Arial" w:cs="Arial"/>
          <w:sz w:val="20"/>
        </w:rPr>
        <w:t>limits measured by the</w:t>
      </w:r>
      <w:r>
        <w:rPr>
          <w:rFonts w:ascii="Arial" w:hAnsi="Arial" w:cs="Arial"/>
          <w:sz w:val="20"/>
        </w:rPr>
        <w:t xml:space="preserve"> test</w:t>
      </w:r>
      <w:r w:rsidR="008232F0" w:rsidRPr="0027712D">
        <w:rPr>
          <w:rFonts w:ascii="Arial" w:hAnsi="Arial" w:cs="Arial"/>
          <w:sz w:val="20"/>
        </w:rPr>
        <w:t xml:space="preserve">.  </w:t>
      </w:r>
    </w:p>
    <w:p w:rsidR="00EE683A" w:rsidRDefault="00EE683A" w:rsidP="00EE683A">
      <w:pPr>
        <w:pStyle w:val="Heading2"/>
        <w:numPr>
          <w:ilvl w:val="0"/>
          <w:numId w:val="23"/>
        </w:numPr>
        <w:autoSpaceDE w:val="0"/>
        <w:spacing w:before="240" w:line="240" w:lineRule="atLeast"/>
        <w:ind w:hanging="720"/>
        <w:rPr>
          <w:rFonts w:ascii="Arial" w:hAnsi="Arial" w:cs="Arial"/>
          <w:smallCaps w:val="0"/>
          <w:sz w:val="20"/>
          <w:u w:val="none"/>
        </w:rPr>
      </w:pPr>
      <w:bookmarkStart w:id="26" w:name="_Toc302482352"/>
      <w:r>
        <w:rPr>
          <w:rFonts w:ascii="Arial" w:hAnsi="Arial" w:cs="Arial"/>
          <w:smallCaps w:val="0"/>
          <w:sz w:val="20"/>
          <w:u w:val="none"/>
        </w:rPr>
        <w:t>Documentation</w:t>
      </w:r>
      <w:bookmarkEnd w:id="26"/>
    </w:p>
    <w:p w:rsidR="008232F0" w:rsidRPr="008232F0" w:rsidRDefault="008B43BC" w:rsidP="008232F0">
      <w:pPr>
        <w:ind w:left="720"/>
      </w:pPr>
      <w:r>
        <w:rPr>
          <w:rFonts w:ascii="Arial" w:hAnsi="Arial" w:cs="Arial"/>
          <w:sz w:val="20"/>
        </w:rPr>
        <w:t xml:space="preserve">Corporate Treasury documents all calculations and assumptions and reviews relevant documentation at the Treasury Risk Committee.  </w:t>
      </w:r>
      <w:r w:rsidR="008232F0">
        <w:rPr>
          <w:rFonts w:ascii="Arial" w:hAnsi="Arial" w:cs="Arial"/>
          <w:sz w:val="20"/>
        </w:rPr>
        <w:t>All data and assumptions used in the Liquidity Stress Tests are maintained in the LST files, as well as the documentation produced in association with the testing.</w:t>
      </w:r>
    </w:p>
    <w:p w:rsidR="00EE683A" w:rsidRDefault="00EE683A" w:rsidP="00EE683A">
      <w:pPr>
        <w:pStyle w:val="Heading2"/>
        <w:numPr>
          <w:ilvl w:val="0"/>
          <w:numId w:val="23"/>
        </w:numPr>
        <w:autoSpaceDE w:val="0"/>
        <w:spacing w:before="240" w:line="240" w:lineRule="atLeast"/>
        <w:ind w:hanging="720"/>
        <w:rPr>
          <w:rFonts w:ascii="Arial" w:hAnsi="Arial" w:cs="Arial"/>
          <w:smallCaps w:val="0"/>
          <w:sz w:val="20"/>
          <w:u w:val="none"/>
        </w:rPr>
      </w:pPr>
      <w:bookmarkStart w:id="27" w:name="_Toc302482353"/>
      <w:r>
        <w:rPr>
          <w:rFonts w:ascii="Arial" w:hAnsi="Arial" w:cs="Arial"/>
          <w:smallCaps w:val="0"/>
          <w:sz w:val="20"/>
          <w:u w:val="none"/>
        </w:rPr>
        <w:t>Limits</w:t>
      </w:r>
      <w:bookmarkEnd w:id="27"/>
    </w:p>
    <w:p w:rsidR="00EE683A" w:rsidRDefault="00EE683A" w:rsidP="00EE683A">
      <w:pPr>
        <w:pStyle w:val="BodyTextIndent"/>
        <w:tabs>
          <w:tab w:val="clear" w:pos="180"/>
        </w:tabs>
        <w:spacing w:after="120" w:line="240" w:lineRule="atLeast"/>
        <w:rPr>
          <w:rFonts w:ascii="Arial" w:hAnsi="Arial" w:cs="Arial"/>
          <w:sz w:val="20"/>
        </w:rPr>
      </w:pPr>
      <w:r>
        <w:rPr>
          <w:rFonts w:ascii="Arial" w:hAnsi="Arial" w:cs="Arial"/>
          <w:sz w:val="20"/>
        </w:rPr>
        <w:t>The following are the liquidity risk limits for the Company stress test:</w:t>
      </w:r>
    </w:p>
    <w:p w:rsidR="00EE683A" w:rsidRDefault="00EE683A" w:rsidP="00EE683A">
      <w:pPr>
        <w:pStyle w:val="BodyTextIndent"/>
        <w:numPr>
          <w:ilvl w:val="0"/>
          <w:numId w:val="28"/>
        </w:numPr>
        <w:tabs>
          <w:tab w:val="clear" w:pos="180"/>
          <w:tab w:val="clear" w:pos="2160"/>
          <w:tab w:val="num" w:pos="1440"/>
        </w:tabs>
        <w:spacing w:line="240" w:lineRule="atLeast"/>
        <w:ind w:left="1440"/>
        <w:rPr>
          <w:rFonts w:ascii="Arial" w:hAnsi="Arial" w:cs="Arial"/>
          <w:sz w:val="20"/>
        </w:rPr>
      </w:pPr>
      <w:r>
        <w:rPr>
          <w:rFonts w:ascii="Arial" w:hAnsi="Arial" w:cs="Arial"/>
          <w:sz w:val="20"/>
        </w:rPr>
        <w:lastRenderedPageBreak/>
        <w:t xml:space="preserve">In the base </w:t>
      </w:r>
      <w:r w:rsidR="002865A9">
        <w:rPr>
          <w:rFonts w:ascii="Arial" w:hAnsi="Arial" w:cs="Arial"/>
          <w:sz w:val="20"/>
        </w:rPr>
        <w:t>L</w:t>
      </w:r>
      <w:r>
        <w:rPr>
          <w:rFonts w:ascii="Arial" w:hAnsi="Arial" w:cs="Arial"/>
          <w:sz w:val="20"/>
        </w:rPr>
        <w:t xml:space="preserve">iquidity </w:t>
      </w:r>
      <w:r w:rsidR="002865A9">
        <w:rPr>
          <w:rFonts w:ascii="Arial" w:hAnsi="Arial" w:cs="Arial"/>
          <w:sz w:val="20"/>
        </w:rPr>
        <w:t>S</w:t>
      </w:r>
      <w:r>
        <w:rPr>
          <w:rFonts w:ascii="Arial" w:hAnsi="Arial" w:cs="Arial"/>
          <w:sz w:val="20"/>
        </w:rPr>
        <w:t>tress</w:t>
      </w:r>
      <w:r w:rsidR="002865A9">
        <w:rPr>
          <w:rFonts w:ascii="Arial" w:hAnsi="Arial" w:cs="Arial"/>
          <w:sz w:val="20"/>
        </w:rPr>
        <w:t xml:space="preserve"> T</w:t>
      </w:r>
      <w:r>
        <w:rPr>
          <w:rFonts w:ascii="Arial" w:hAnsi="Arial" w:cs="Arial"/>
          <w:sz w:val="20"/>
        </w:rPr>
        <w:t>est, Contingency Liquidity / Remaining Liabilities must exceed a minimum of a 20% buffer for the first 1-15 days and a 10% buffer through the remainder of the survival horizon of one year.</w:t>
      </w:r>
    </w:p>
    <w:p w:rsidR="00A136FA" w:rsidRDefault="00A136FA" w:rsidP="00A136FA">
      <w:pPr>
        <w:pStyle w:val="BodyTextIndent"/>
        <w:numPr>
          <w:ilvl w:val="0"/>
          <w:numId w:val="28"/>
        </w:numPr>
        <w:tabs>
          <w:tab w:val="clear" w:pos="180"/>
          <w:tab w:val="clear" w:pos="2160"/>
          <w:tab w:val="num" w:pos="1440"/>
        </w:tabs>
        <w:spacing w:after="120" w:line="240" w:lineRule="atLeast"/>
        <w:ind w:left="1440"/>
        <w:rPr>
          <w:rFonts w:ascii="Arial" w:hAnsi="Arial" w:cs="Arial"/>
          <w:sz w:val="20"/>
        </w:rPr>
      </w:pPr>
      <w:r>
        <w:rPr>
          <w:rFonts w:ascii="Arial" w:hAnsi="Arial" w:cs="Arial"/>
          <w:sz w:val="20"/>
        </w:rPr>
        <w:t>In the supplemental market stresses, which are a 10% deposit run-off in one day and an 18% deposit run-off in 10 days, the Contingency Liquidity / Remaining Liabilities must exceed a minimum of 13%.</w:t>
      </w:r>
    </w:p>
    <w:p w:rsidR="00A136FA" w:rsidRPr="00A136FA" w:rsidRDefault="00A136FA" w:rsidP="00A136FA">
      <w:pPr>
        <w:pStyle w:val="BodyTextIndent"/>
        <w:tabs>
          <w:tab w:val="clear" w:pos="180"/>
        </w:tabs>
        <w:spacing w:after="120" w:line="240" w:lineRule="atLeast"/>
        <w:rPr>
          <w:rFonts w:ascii="Arial" w:hAnsi="Arial" w:cs="Arial"/>
          <w:sz w:val="20"/>
        </w:rPr>
      </w:pPr>
    </w:p>
    <w:p w:rsidR="008B43BC" w:rsidRDefault="0030293A" w:rsidP="0030293A">
      <w:pPr>
        <w:pStyle w:val="BodyTextIndent"/>
        <w:tabs>
          <w:tab w:val="clear" w:pos="180"/>
        </w:tabs>
        <w:spacing w:after="120" w:line="240" w:lineRule="atLeast"/>
        <w:rPr>
          <w:rFonts w:ascii="Arial" w:hAnsi="Arial" w:cs="Arial"/>
          <w:sz w:val="20"/>
        </w:rPr>
      </w:pPr>
      <w:r w:rsidRPr="0030293A">
        <w:rPr>
          <w:rFonts w:ascii="Arial" w:hAnsi="Arial" w:cs="Arial"/>
          <w:sz w:val="20"/>
        </w:rPr>
        <w:t xml:space="preserve">If results show the Company is beyond its risk tolerance, management should take action to limit exposures, build a liquidity cushion, and adjust the liquidity profile to fit the Company risk tolerance. </w:t>
      </w:r>
    </w:p>
    <w:p w:rsidR="007D3501" w:rsidRDefault="00EE683A" w:rsidP="008B43BC">
      <w:pPr>
        <w:pStyle w:val="BodyTextIndent"/>
        <w:tabs>
          <w:tab w:val="clear" w:pos="180"/>
        </w:tabs>
        <w:spacing w:after="120" w:line="240" w:lineRule="atLeast"/>
        <w:rPr>
          <w:rFonts w:ascii="Arial" w:hAnsi="Arial" w:cs="Arial"/>
          <w:sz w:val="20"/>
        </w:rPr>
      </w:pPr>
      <w:r w:rsidRPr="0030293A">
        <w:rPr>
          <w:rFonts w:ascii="Arial" w:hAnsi="Arial" w:cs="Arial"/>
          <w:sz w:val="20"/>
        </w:rPr>
        <w:t>A</w:t>
      </w:r>
      <w:r w:rsidR="002865A9">
        <w:rPr>
          <w:rFonts w:ascii="Arial" w:hAnsi="Arial" w:cs="Arial"/>
          <w:sz w:val="20"/>
        </w:rPr>
        <w:t>LCO must approve any Liquidity Stress T</w:t>
      </w:r>
      <w:r w:rsidRPr="0030293A">
        <w:rPr>
          <w:rFonts w:ascii="Arial" w:hAnsi="Arial" w:cs="Arial"/>
          <w:sz w:val="20"/>
        </w:rPr>
        <w:t>est limit exceptions.</w:t>
      </w:r>
    </w:p>
    <w:p w:rsidR="00E547AF" w:rsidRDefault="00E22F4A" w:rsidP="00B9305F">
      <w:pPr>
        <w:pStyle w:val="Heading1"/>
        <w:tabs>
          <w:tab w:val="num" w:pos="0"/>
        </w:tabs>
        <w:autoSpaceDE w:val="0"/>
        <w:spacing w:before="360" w:after="120" w:line="240" w:lineRule="atLeast"/>
        <w:ind w:left="-540"/>
        <w:rPr>
          <w:rFonts w:ascii="Arial" w:hAnsi="Arial" w:cs="Arial"/>
          <w:smallCaps w:val="0"/>
          <w:sz w:val="24"/>
          <w:szCs w:val="24"/>
        </w:rPr>
      </w:pPr>
      <w:bookmarkStart w:id="28" w:name="_Contingency_Plan"/>
      <w:bookmarkStart w:id="29" w:name="_Review"/>
      <w:bookmarkStart w:id="30" w:name="_Toc302482354"/>
      <w:bookmarkEnd w:id="28"/>
      <w:bookmarkEnd w:id="29"/>
      <w:r>
        <w:rPr>
          <w:rFonts w:ascii="Arial" w:hAnsi="Arial" w:cs="Arial"/>
          <w:smallCaps w:val="0"/>
          <w:sz w:val="24"/>
          <w:szCs w:val="24"/>
        </w:rPr>
        <w:t>I</w:t>
      </w:r>
      <w:r w:rsidR="0058047A">
        <w:rPr>
          <w:rFonts w:ascii="Arial" w:hAnsi="Arial" w:cs="Arial"/>
          <w:smallCaps w:val="0"/>
          <w:sz w:val="24"/>
          <w:szCs w:val="24"/>
        </w:rPr>
        <w:t>V</w:t>
      </w:r>
      <w:r w:rsidR="00B9305F">
        <w:rPr>
          <w:rFonts w:ascii="Arial" w:hAnsi="Arial" w:cs="Arial"/>
          <w:smallCaps w:val="0"/>
          <w:sz w:val="24"/>
          <w:szCs w:val="24"/>
        </w:rPr>
        <w:t>.</w:t>
      </w:r>
      <w:r w:rsidR="00B9305F">
        <w:rPr>
          <w:rFonts w:ascii="Arial" w:hAnsi="Arial" w:cs="Arial"/>
          <w:smallCaps w:val="0"/>
          <w:sz w:val="24"/>
          <w:szCs w:val="24"/>
        </w:rPr>
        <w:tab/>
      </w:r>
      <w:r w:rsidR="00E547AF">
        <w:rPr>
          <w:rFonts w:ascii="Arial" w:hAnsi="Arial" w:cs="Arial"/>
          <w:smallCaps w:val="0"/>
          <w:sz w:val="24"/>
          <w:szCs w:val="24"/>
        </w:rPr>
        <w:t>Review</w:t>
      </w:r>
      <w:bookmarkEnd w:id="30"/>
    </w:p>
    <w:p w:rsidR="00E547AF" w:rsidRDefault="00D34597" w:rsidP="00B9305F">
      <w:pPr>
        <w:tabs>
          <w:tab w:val="left" w:pos="1710"/>
        </w:tabs>
        <w:autoSpaceDE w:val="0"/>
        <w:autoSpaceDN w:val="0"/>
        <w:adjustRightInd w:val="0"/>
        <w:spacing w:after="120" w:line="240" w:lineRule="atLeast"/>
        <w:rPr>
          <w:rFonts w:ascii="Arial" w:hAnsi="Arial" w:cs="Arial"/>
          <w:sz w:val="20"/>
        </w:rPr>
      </w:pPr>
      <w:r>
        <w:rPr>
          <w:rFonts w:ascii="Arial" w:hAnsi="Arial" w:cs="Arial"/>
          <w:sz w:val="20"/>
        </w:rPr>
        <w:t>AL</w:t>
      </w:r>
      <w:r w:rsidR="008B43BC">
        <w:rPr>
          <w:rFonts w:ascii="Arial" w:hAnsi="Arial" w:cs="Arial"/>
          <w:sz w:val="20"/>
        </w:rPr>
        <w:t>M</w:t>
      </w:r>
      <w:r>
        <w:rPr>
          <w:rFonts w:ascii="Arial" w:hAnsi="Arial" w:cs="Arial"/>
          <w:sz w:val="20"/>
        </w:rPr>
        <w:t xml:space="preserve"> </w:t>
      </w:r>
      <w:r w:rsidR="0061521A">
        <w:rPr>
          <w:rFonts w:ascii="Arial" w:hAnsi="Arial" w:cs="Arial"/>
          <w:sz w:val="20"/>
        </w:rPr>
        <w:t xml:space="preserve">and the Treasury Risk Committee </w:t>
      </w:r>
      <w:r>
        <w:rPr>
          <w:rFonts w:ascii="Arial" w:hAnsi="Arial" w:cs="Arial"/>
          <w:sz w:val="20"/>
        </w:rPr>
        <w:t xml:space="preserve">will review and approve </w:t>
      </w:r>
      <w:r w:rsidR="00E547AF">
        <w:rPr>
          <w:rFonts w:ascii="Arial" w:hAnsi="Arial" w:cs="Arial"/>
          <w:sz w:val="20"/>
        </w:rPr>
        <w:t xml:space="preserve">this policy and the limits contained herein </w:t>
      </w:r>
      <w:r>
        <w:rPr>
          <w:rFonts w:ascii="Arial" w:hAnsi="Arial" w:cs="Arial"/>
          <w:sz w:val="20"/>
        </w:rPr>
        <w:t>per the Company’s policy for policy approval</w:t>
      </w:r>
      <w:r w:rsidR="004B217D">
        <w:rPr>
          <w:rFonts w:ascii="Arial" w:hAnsi="Arial" w:cs="Arial"/>
          <w:sz w:val="20"/>
        </w:rPr>
        <w:t>, no less frequently than annually</w:t>
      </w:r>
      <w:r w:rsidR="00B9305F">
        <w:rPr>
          <w:rFonts w:ascii="Arial" w:hAnsi="Arial" w:cs="Arial"/>
          <w:sz w:val="20"/>
        </w:rPr>
        <w:t xml:space="preserve">. </w:t>
      </w:r>
    </w:p>
    <w:p w:rsidR="00E547AF" w:rsidRDefault="00E547AF">
      <w:pPr>
        <w:tabs>
          <w:tab w:val="left" w:pos="1710"/>
        </w:tabs>
        <w:autoSpaceDE w:val="0"/>
        <w:autoSpaceDN w:val="0"/>
        <w:adjustRightInd w:val="0"/>
        <w:spacing w:line="240" w:lineRule="atLeast"/>
        <w:rPr>
          <w:rFonts w:ascii="Arial" w:hAnsi="Arial" w:cs="Arial"/>
          <w:sz w:val="20"/>
        </w:rPr>
      </w:pPr>
      <w:r>
        <w:rPr>
          <w:rFonts w:ascii="Arial" w:hAnsi="Arial" w:cs="Arial"/>
          <w:sz w:val="20"/>
        </w:rPr>
        <w:t>Any excesses to liquidity limits stated herein must be reported to and approved by ALCO.</w:t>
      </w:r>
    </w:p>
    <w:p w:rsidR="0070030D" w:rsidRDefault="0070030D">
      <w:pPr>
        <w:tabs>
          <w:tab w:val="left" w:pos="1710"/>
        </w:tabs>
        <w:autoSpaceDE w:val="0"/>
        <w:autoSpaceDN w:val="0"/>
        <w:adjustRightInd w:val="0"/>
        <w:spacing w:line="240" w:lineRule="atLeast"/>
        <w:rPr>
          <w:rFonts w:ascii="Arial" w:hAnsi="Arial" w:cs="Arial"/>
          <w:sz w:val="20"/>
        </w:rPr>
      </w:pPr>
    </w:p>
    <w:p w:rsidR="0070030D" w:rsidRDefault="0070030D">
      <w:pPr>
        <w:tabs>
          <w:tab w:val="left" w:pos="1710"/>
        </w:tabs>
        <w:autoSpaceDE w:val="0"/>
        <w:autoSpaceDN w:val="0"/>
        <w:adjustRightInd w:val="0"/>
        <w:spacing w:line="240" w:lineRule="atLeast"/>
        <w:rPr>
          <w:rFonts w:ascii="Arial" w:hAnsi="Arial" w:cs="Arial"/>
          <w:sz w:val="20"/>
        </w:rPr>
      </w:pPr>
    </w:p>
    <w:p w:rsidR="0070030D" w:rsidRDefault="0070030D">
      <w:pPr>
        <w:tabs>
          <w:tab w:val="left" w:pos="1710"/>
        </w:tabs>
        <w:autoSpaceDE w:val="0"/>
        <w:autoSpaceDN w:val="0"/>
        <w:adjustRightInd w:val="0"/>
        <w:spacing w:line="240" w:lineRule="atLeast"/>
        <w:rPr>
          <w:rFonts w:ascii="Arial" w:hAnsi="Arial" w:cs="Arial"/>
          <w:i/>
          <w:sz w:val="20"/>
        </w:rPr>
      </w:pPr>
      <w:r w:rsidRPr="0070030D">
        <w:rPr>
          <w:rFonts w:ascii="Arial" w:hAnsi="Arial" w:cs="Arial"/>
          <w:i/>
          <w:sz w:val="20"/>
        </w:rPr>
        <w:t xml:space="preserve">This policy was </w:t>
      </w:r>
      <w:r w:rsidR="00A136FA">
        <w:rPr>
          <w:rFonts w:ascii="Arial" w:hAnsi="Arial" w:cs="Arial"/>
          <w:i/>
          <w:sz w:val="20"/>
        </w:rPr>
        <w:t xml:space="preserve">last </w:t>
      </w:r>
      <w:r w:rsidR="0061521A">
        <w:rPr>
          <w:rFonts w:ascii="Arial" w:hAnsi="Arial" w:cs="Arial"/>
          <w:i/>
          <w:sz w:val="20"/>
        </w:rPr>
        <w:t>approved</w:t>
      </w:r>
      <w:r w:rsidR="00442C29">
        <w:rPr>
          <w:rFonts w:ascii="Arial" w:hAnsi="Arial" w:cs="Arial"/>
          <w:i/>
          <w:sz w:val="20"/>
        </w:rPr>
        <w:t xml:space="preserve"> by</w:t>
      </w:r>
      <w:r w:rsidRPr="0070030D">
        <w:rPr>
          <w:rFonts w:ascii="Arial" w:hAnsi="Arial" w:cs="Arial"/>
          <w:i/>
          <w:sz w:val="20"/>
        </w:rPr>
        <w:t xml:space="preserve"> </w:t>
      </w:r>
      <w:r w:rsidR="0061521A">
        <w:rPr>
          <w:rFonts w:ascii="Arial" w:hAnsi="Arial" w:cs="Arial"/>
          <w:i/>
          <w:sz w:val="20"/>
        </w:rPr>
        <w:t xml:space="preserve">the Treasury Risk Committee on </w:t>
      </w:r>
      <w:r w:rsidR="00527258">
        <w:rPr>
          <w:rFonts w:ascii="Arial" w:hAnsi="Arial" w:cs="Arial"/>
          <w:i/>
          <w:sz w:val="20"/>
        </w:rPr>
        <w:t>11</w:t>
      </w:r>
      <w:r w:rsidR="000D41F0">
        <w:rPr>
          <w:rFonts w:ascii="Arial" w:hAnsi="Arial" w:cs="Arial"/>
          <w:i/>
          <w:sz w:val="20"/>
        </w:rPr>
        <w:t>/</w:t>
      </w:r>
      <w:r w:rsidR="00527258">
        <w:rPr>
          <w:rFonts w:ascii="Arial" w:hAnsi="Arial" w:cs="Arial"/>
          <w:i/>
          <w:sz w:val="20"/>
        </w:rPr>
        <w:t>14</w:t>
      </w:r>
      <w:r w:rsidR="000D41F0">
        <w:rPr>
          <w:rFonts w:ascii="Arial" w:hAnsi="Arial" w:cs="Arial"/>
          <w:i/>
          <w:sz w:val="20"/>
        </w:rPr>
        <w:t>/201</w:t>
      </w:r>
      <w:r w:rsidR="00527258">
        <w:rPr>
          <w:rFonts w:ascii="Arial" w:hAnsi="Arial" w:cs="Arial"/>
          <w:i/>
          <w:sz w:val="20"/>
        </w:rPr>
        <w:t>2</w:t>
      </w:r>
      <w:r w:rsidRPr="0070030D">
        <w:rPr>
          <w:rFonts w:ascii="Arial" w:hAnsi="Arial" w:cs="Arial"/>
          <w:i/>
          <w:sz w:val="20"/>
        </w:rPr>
        <w:t>.</w:t>
      </w:r>
    </w:p>
    <w:p w:rsidR="0005659E" w:rsidRDefault="0005659E">
      <w:pPr>
        <w:tabs>
          <w:tab w:val="left" w:pos="1710"/>
        </w:tabs>
        <w:autoSpaceDE w:val="0"/>
        <w:autoSpaceDN w:val="0"/>
        <w:adjustRightInd w:val="0"/>
        <w:spacing w:line="240" w:lineRule="atLeast"/>
        <w:rPr>
          <w:rFonts w:ascii="Arial" w:hAnsi="Arial" w:cs="Arial"/>
          <w:i/>
          <w:sz w:val="20"/>
        </w:rPr>
      </w:pPr>
    </w:p>
    <w:p w:rsidR="0005659E" w:rsidRDefault="0005659E">
      <w:pPr>
        <w:tabs>
          <w:tab w:val="left" w:pos="1710"/>
        </w:tabs>
        <w:autoSpaceDE w:val="0"/>
        <w:autoSpaceDN w:val="0"/>
        <w:adjustRightInd w:val="0"/>
        <w:spacing w:line="240" w:lineRule="atLeast"/>
        <w:rPr>
          <w:rFonts w:ascii="Arial" w:hAnsi="Arial" w:cs="Arial"/>
          <w:i/>
          <w:sz w:val="20"/>
        </w:rPr>
      </w:pPr>
    </w:p>
    <w:p w:rsidR="0005659E" w:rsidRPr="0005659E" w:rsidRDefault="0005659E">
      <w:pPr>
        <w:tabs>
          <w:tab w:val="left" w:pos="1710"/>
        </w:tabs>
        <w:autoSpaceDE w:val="0"/>
        <w:autoSpaceDN w:val="0"/>
        <w:adjustRightInd w:val="0"/>
        <w:spacing w:line="240" w:lineRule="atLeast"/>
        <w:rPr>
          <w:rFonts w:ascii="Arial" w:hAnsi="Arial" w:cs="Arial"/>
          <w:b/>
          <w:szCs w:val="24"/>
        </w:rPr>
      </w:pPr>
      <w:r w:rsidRPr="0005659E">
        <w:rPr>
          <w:rFonts w:ascii="Arial" w:hAnsi="Arial" w:cs="Arial"/>
          <w:b/>
          <w:szCs w:val="24"/>
        </w:rPr>
        <w:t>Addendum</w:t>
      </w:r>
    </w:p>
    <w:p w:rsidR="0005659E" w:rsidRDefault="0005659E">
      <w:pPr>
        <w:tabs>
          <w:tab w:val="left" w:pos="1710"/>
        </w:tabs>
        <w:autoSpaceDE w:val="0"/>
        <w:autoSpaceDN w:val="0"/>
        <w:adjustRightInd w:val="0"/>
        <w:spacing w:line="240" w:lineRule="atLeast"/>
        <w:rPr>
          <w:rFonts w:ascii="Arial" w:hAnsi="Arial" w:cs="Arial"/>
          <w:sz w:val="20"/>
        </w:rPr>
      </w:pPr>
    </w:p>
    <w:p w:rsidR="0005659E" w:rsidRDefault="0005659E">
      <w:pPr>
        <w:tabs>
          <w:tab w:val="left" w:pos="1710"/>
        </w:tabs>
        <w:autoSpaceDE w:val="0"/>
        <w:autoSpaceDN w:val="0"/>
        <w:adjustRightInd w:val="0"/>
        <w:spacing w:line="240" w:lineRule="atLeast"/>
        <w:rPr>
          <w:rFonts w:ascii="Arial" w:hAnsi="Arial" w:cs="Arial"/>
          <w:sz w:val="20"/>
        </w:rPr>
      </w:pPr>
      <w:r>
        <w:rPr>
          <w:rFonts w:ascii="Arial" w:hAnsi="Arial" w:cs="Arial"/>
          <w:sz w:val="20"/>
        </w:rPr>
        <w:t>Since the 11/14/2012 approval, two changes have been made</w:t>
      </w:r>
    </w:p>
    <w:p w:rsidR="0005659E" w:rsidRDefault="0005659E">
      <w:pPr>
        <w:tabs>
          <w:tab w:val="left" w:pos="1710"/>
        </w:tabs>
        <w:autoSpaceDE w:val="0"/>
        <w:autoSpaceDN w:val="0"/>
        <w:adjustRightInd w:val="0"/>
        <w:spacing w:line="240" w:lineRule="atLeast"/>
        <w:rPr>
          <w:rFonts w:ascii="Arial" w:hAnsi="Arial" w:cs="Arial"/>
          <w:sz w:val="20"/>
        </w:rPr>
      </w:pPr>
    </w:p>
    <w:p w:rsidR="0005659E" w:rsidRDefault="0005659E" w:rsidP="0005659E">
      <w:pPr>
        <w:pStyle w:val="ListParagraph"/>
        <w:numPr>
          <w:ilvl w:val="1"/>
          <w:numId w:val="5"/>
        </w:numPr>
        <w:tabs>
          <w:tab w:val="left" w:pos="1710"/>
        </w:tabs>
        <w:autoSpaceDE w:val="0"/>
        <w:autoSpaceDN w:val="0"/>
        <w:adjustRightInd w:val="0"/>
        <w:spacing w:line="240" w:lineRule="atLeast"/>
        <w:rPr>
          <w:rFonts w:ascii="Arial" w:hAnsi="Arial" w:cs="Arial"/>
          <w:sz w:val="20"/>
        </w:rPr>
      </w:pPr>
      <w:r>
        <w:rPr>
          <w:rFonts w:ascii="Arial" w:hAnsi="Arial" w:cs="Arial"/>
          <w:sz w:val="20"/>
        </w:rPr>
        <w:t>All changes to the liquidity stress testing framework must be approved by the Treasury Risk Committee prior to implementation (see the Treasury Risk Committee minutes dated 12/11/2012).</w:t>
      </w:r>
    </w:p>
    <w:p w:rsidR="0005659E" w:rsidRDefault="0005659E" w:rsidP="0005659E">
      <w:pPr>
        <w:pStyle w:val="ListParagraph"/>
        <w:numPr>
          <w:ilvl w:val="1"/>
          <w:numId w:val="5"/>
        </w:numPr>
        <w:tabs>
          <w:tab w:val="left" w:pos="1710"/>
        </w:tabs>
        <w:autoSpaceDE w:val="0"/>
        <w:autoSpaceDN w:val="0"/>
        <w:adjustRightInd w:val="0"/>
        <w:spacing w:line="240" w:lineRule="atLeast"/>
        <w:rPr>
          <w:rFonts w:ascii="Arial" w:hAnsi="Arial" w:cs="Arial"/>
          <w:sz w:val="20"/>
        </w:rPr>
      </w:pPr>
      <w:r>
        <w:rPr>
          <w:rFonts w:ascii="Arial" w:hAnsi="Arial" w:cs="Arial"/>
          <w:sz w:val="20"/>
        </w:rPr>
        <w:t xml:space="preserve">The Company added an additional limit in the Company stress test: In the base </w:t>
      </w:r>
      <w:r w:rsidR="00D87129">
        <w:rPr>
          <w:rFonts w:ascii="Arial" w:hAnsi="Arial" w:cs="Arial"/>
          <w:sz w:val="20"/>
        </w:rPr>
        <w:t xml:space="preserve">case </w:t>
      </w:r>
      <w:r>
        <w:rPr>
          <w:rFonts w:ascii="Arial" w:hAnsi="Arial" w:cs="Arial"/>
          <w:sz w:val="20"/>
        </w:rPr>
        <w:t>liquidity stress test, the amount of less liquid assets net of encumbrance and applicable haircuts/net contingent liquidity must be less than 5% (see Board of Directors presentation August 2013/ALCO July 2013).</w:t>
      </w:r>
    </w:p>
    <w:p w:rsidR="0005659E" w:rsidRDefault="0005659E" w:rsidP="0005659E">
      <w:pPr>
        <w:tabs>
          <w:tab w:val="left" w:pos="1710"/>
        </w:tabs>
        <w:autoSpaceDE w:val="0"/>
        <w:autoSpaceDN w:val="0"/>
        <w:adjustRightInd w:val="0"/>
        <w:spacing w:line="240" w:lineRule="atLeast"/>
        <w:rPr>
          <w:rFonts w:ascii="Arial" w:hAnsi="Arial" w:cs="Arial"/>
          <w:sz w:val="20"/>
        </w:rPr>
      </w:pPr>
    </w:p>
    <w:p w:rsidR="0005659E" w:rsidRDefault="0005659E" w:rsidP="0005659E">
      <w:pPr>
        <w:tabs>
          <w:tab w:val="left" w:pos="1710"/>
        </w:tabs>
        <w:autoSpaceDE w:val="0"/>
        <w:autoSpaceDN w:val="0"/>
        <w:adjustRightInd w:val="0"/>
        <w:spacing w:line="240" w:lineRule="atLeast"/>
        <w:rPr>
          <w:rFonts w:ascii="Arial" w:hAnsi="Arial" w:cs="Arial"/>
          <w:sz w:val="20"/>
        </w:rPr>
      </w:pPr>
      <w:r>
        <w:rPr>
          <w:rFonts w:ascii="Arial" w:hAnsi="Arial" w:cs="Arial"/>
          <w:sz w:val="20"/>
        </w:rPr>
        <w:t>These changes will be embedded in the liquidity stress testing policy at the next review.</w:t>
      </w:r>
    </w:p>
    <w:p w:rsidR="00FF6F94" w:rsidRDefault="00FF6F94" w:rsidP="0005659E">
      <w:pPr>
        <w:tabs>
          <w:tab w:val="left" w:pos="1710"/>
        </w:tabs>
        <w:autoSpaceDE w:val="0"/>
        <w:autoSpaceDN w:val="0"/>
        <w:adjustRightInd w:val="0"/>
        <w:spacing w:line="240" w:lineRule="atLeast"/>
        <w:rPr>
          <w:rFonts w:ascii="Arial" w:hAnsi="Arial" w:cs="Arial"/>
          <w:sz w:val="20"/>
        </w:rPr>
      </w:pPr>
    </w:p>
    <w:p w:rsidR="00FF6F94" w:rsidRPr="0005659E" w:rsidRDefault="00FF6F94" w:rsidP="0005659E">
      <w:pPr>
        <w:tabs>
          <w:tab w:val="left" w:pos="1710"/>
        </w:tabs>
        <w:autoSpaceDE w:val="0"/>
        <w:autoSpaceDN w:val="0"/>
        <w:adjustRightInd w:val="0"/>
        <w:spacing w:line="240" w:lineRule="atLeast"/>
        <w:rPr>
          <w:rFonts w:ascii="Arial" w:hAnsi="Arial" w:cs="Arial"/>
          <w:sz w:val="20"/>
        </w:rPr>
      </w:pPr>
      <w:r>
        <w:rPr>
          <w:rFonts w:ascii="Arial" w:hAnsi="Arial" w:cs="Arial"/>
          <w:sz w:val="20"/>
        </w:rPr>
        <w:t>At the October 8</w:t>
      </w:r>
      <w:r w:rsidRPr="00FF6F94">
        <w:rPr>
          <w:rFonts w:ascii="Arial" w:hAnsi="Arial" w:cs="Arial"/>
          <w:sz w:val="20"/>
          <w:vertAlign w:val="superscript"/>
        </w:rPr>
        <w:t>th</w:t>
      </w:r>
      <w:r>
        <w:rPr>
          <w:rFonts w:ascii="Arial" w:hAnsi="Arial" w:cs="Arial"/>
          <w:sz w:val="20"/>
        </w:rPr>
        <w:t>, 2013 Treasury Risk Committee meeting, the Committee granted a six month extension for the next approval of the liquidity policy to factor in changes in systems and independent review. The next approval is slated for the April 2014 Treasury Risk Committee meeting.</w:t>
      </w:r>
      <w:bookmarkStart w:id="31" w:name="_GoBack"/>
      <w:bookmarkEnd w:id="31"/>
    </w:p>
    <w:sectPr w:rsidR="00FF6F94" w:rsidRPr="0005659E">
      <w:footerReference w:type="default" r:id="rId9"/>
      <w:footerReference w:type="first" r:id="rId10"/>
      <w:pgSz w:w="12240" w:h="15840" w:code="1"/>
      <w:pgMar w:top="907"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7A4" w:rsidRDefault="00EA47A4">
      <w:r>
        <w:separator/>
      </w:r>
    </w:p>
  </w:endnote>
  <w:endnote w:type="continuationSeparator" w:id="0">
    <w:p w:rsidR="00EA47A4" w:rsidRDefault="00EA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910540"/>
      <w:docPartObj>
        <w:docPartGallery w:val="Page Numbers (Bottom of Page)"/>
        <w:docPartUnique/>
      </w:docPartObj>
    </w:sdtPr>
    <w:sdtEndPr>
      <w:rPr>
        <w:noProof/>
      </w:rPr>
    </w:sdtEndPr>
    <w:sdtContent>
      <w:p w:rsidR="00D178FB" w:rsidRDefault="00D178FB">
        <w:pPr>
          <w:pStyle w:val="Footer"/>
        </w:pPr>
        <w:r>
          <w:fldChar w:fldCharType="begin"/>
        </w:r>
        <w:r>
          <w:instrText xml:space="preserve"> PAGE   \* MERGEFORMAT </w:instrText>
        </w:r>
        <w:r>
          <w:fldChar w:fldCharType="separate"/>
        </w:r>
        <w:r w:rsidR="00FF6F94">
          <w:rPr>
            <w:noProof/>
          </w:rPr>
          <w:t>4</w:t>
        </w:r>
        <w:r>
          <w:rPr>
            <w:noProof/>
          </w:rPr>
          <w:fldChar w:fldCharType="end"/>
        </w:r>
      </w:p>
    </w:sdtContent>
  </w:sdt>
  <w:p w:rsidR="00CF121A" w:rsidRDefault="00CF12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75A" w:rsidRDefault="0018375A">
    <w:pPr>
      <w:pStyle w:val="Footer"/>
      <w:pBdr>
        <w:bottom w:val="single" w:sz="4" w:space="1" w:color="auto"/>
      </w:pBdr>
      <w:tabs>
        <w:tab w:val="clear" w:pos="8640"/>
        <w:tab w:val="right" w:pos="9360"/>
      </w:tabs>
      <w:spacing w:line="220" w:lineRule="atLeast"/>
      <w:rPr>
        <w:rFonts w:ascii="Arial" w:hAnsi="Arial" w:cs="Arial"/>
        <w:color w:val="808080"/>
        <w:sz w:val="18"/>
        <w:szCs w:val="18"/>
      </w:rPr>
    </w:pPr>
  </w:p>
  <w:p w:rsidR="0018375A" w:rsidRDefault="0018375A">
    <w:pPr>
      <w:pStyle w:val="Footer"/>
      <w:tabs>
        <w:tab w:val="clear" w:pos="8640"/>
        <w:tab w:val="right" w:pos="9360"/>
      </w:tabs>
      <w:spacing w:line="220" w:lineRule="atLeast"/>
      <w:rPr>
        <w:rFonts w:ascii="Arial" w:hAnsi="Arial" w:cs="Arial"/>
        <w:color w:val="808080"/>
        <w:sz w:val="18"/>
        <w:szCs w:val="18"/>
      </w:rPr>
    </w:pPr>
    <w:r>
      <w:rPr>
        <w:rFonts w:ascii="Arial" w:hAnsi="Arial" w:cs="Arial"/>
        <w:color w:val="808080"/>
        <w:sz w:val="18"/>
        <w:szCs w:val="18"/>
      </w:rPr>
      <w:t xml:space="preserve">Information Classification: </w:t>
    </w:r>
    <w:r>
      <w:rPr>
        <w:rFonts w:ascii="Arial" w:hAnsi="Arial" w:cs="Arial"/>
        <w:b/>
        <w:color w:val="808080"/>
        <w:sz w:val="18"/>
        <w:szCs w:val="18"/>
      </w:rPr>
      <w:t>Internal Use Only</w:t>
    </w:r>
  </w:p>
  <w:p w:rsidR="0018375A" w:rsidRDefault="0018375A">
    <w:pPr>
      <w:pStyle w:val="Footer"/>
      <w:tabs>
        <w:tab w:val="clear" w:pos="8640"/>
        <w:tab w:val="right" w:pos="9360"/>
      </w:tabs>
      <w:spacing w:line="220" w:lineRule="atLeast"/>
      <w:rPr>
        <w:rFonts w:ascii="Arial" w:hAnsi="Arial" w:cs="Arial"/>
        <w:color w:val="808080"/>
        <w:sz w:val="18"/>
        <w:szCs w:val="18"/>
      </w:rPr>
    </w:pPr>
    <w:r>
      <w:rPr>
        <w:rFonts w:ascii="Arial" w:hAnsi="Arial" w:cs="Arial"/>
        <w:color w:val="808080"/>
        <w:sz w:val="18"/>
        <w:szCs w:val="18"/>
      </w:rPr>
      <w:t xml:space="preserve">Page </w:t>
    </w:r>
    <w:r>
      <w:rPr>
        <w:rStyle w:val="PageNumber"/>
        <w:rFonts w:ascii="Arial" w:hAnsi="Arial" w:cs="Arial"/>
        <w:color w:val="808080"/>
        <w:sz w:val="18"/>
        <w:szCs w:val="18"/>
      </w:rPr>
      <w:fldChar w:fldCharType="begin"/>
    </w:r>
    <w:r>
      <w:rPr>
        <w:rStyle w:val="PageNumber"/>
        <w:rFonts w:ascii="Arial" w:hAnsi="Arial" w:cs="Arial"/>
        <w:color w:val="808080"/>
        <w:sz w:val="18"/>
        <w:szCs w:val="18"/>
      </w:rPr>
      <w:instrText xml:space="preserve"> PAGE </w:instrText>
    </w:r>
    <w:r>
      <w:rPr>
        <w:rStyle w:val="PageNumber"/>
        <w:rFonts w:ascii="Arial" w:hAnsi="Arial" w:cs="Arial"/>
        <w:color w:val="808080"/>
        <w:sz w:val="18"/>
        <w:szCs w:val="18"/>
      </w:rPr>
      <w:fldChar w:fldCharType="separate"/>
    </w:r>
    <w:r w:rsidR="00FF6F94">
      <w:rPr>
        <w:rStyle w:val="PageNumber"/>
        <w:rFonts w:ascii="Arial" w:hAnsi="Arial" w:cs="Arial"/>
        <w:noProof/>
        <w:color w:val="808080"/>
        <w:sz w:val="18"/>
        <w:szCs w:val="18"/>
      </w:rPr>
      <w:t>1</w:t>
    </w:r>
    <w:r>
      <w:rPr>
        <w:rStyle w:val="PageNumber"/>
        <w:rFonts w:ascii="Arial" w:hAnsi="Arial" w:cs="Arial"/>
        <w:color w:val="808080"/>
        <w:sz w:val="18"/>
        <w:szCs w:val="18"/>
      </w:rPr>
      <w:fldChar w:fldCharType="end"/>
    </w:r>
    <w:r>
      <w:rPr>
        <w:rStyle w:val="PageNumber"/>
        <w:rFonts w:ascii="Arial" w:hAnsi="Arial" w:cs="Arial"/>
        <w:color w:val="808080"/>
        <w:sz w:val="18"/>
        <w:szCs w:val="18"/>
      </w:rPr>
      <w:t xml:space="preserve"> (</w:t>
    </w:r>
    <w:r>
      <w:rPr>
        <w:rStyle w:val="PageNumber"/>
        <w:rFonts w:ascii="Arial" w:hAnsi="Arial" w:cs="Arial"/>
        <w:color w:val="808080"/>
        <w:sz w:val="18"/>
        <w:szCs w:val="18"/>
      </w:rPr>
      <w:fldChar w:fldCharType="begin"/>
    </w:r>
    <w:r>
      <w:rPr>
        <w:rStyle w:val="PageNumber"/>
        <w:rFonts w:ascii="Arial" w:hAnsi="Arial" w:cs="Arial"/>
        <w:color w:val="808080"/>
        <w:sz w:val="18"/>
        <w:szCs w:val="18"/>
      </w:rPr>
      <w:instrText xml:space="preserve"> NUMPAGES </w:instrText>
    </w:r>
    <w:r>
      <w:rPr>
        <w:rStyle w:val="PageNumber"/>
        <w:rFonts w:ascii="Arial" w:hAnsi="Arial" w:cs="Arial"/>
        <w:color w:val="808080"/>
        <w:sz w:val="18"/>
        <w:szCs w:val="18"/>
      </w:rPr>
      <w:fldChar w:fldCharType="separate"/>
    </w:r>
    <w:r w:rsidR="00FF6F94">
      <w:rPr>
        <w:rStyle w:val="PageNumber"/>
        <w:rFonts w:ascii="Arial" w:hAnsi="Arial" w:cs="Arial"/>
        <w:noProof/>
        <w:color w:val="808080"/>
        <w:sz w:val="18"/>
        <w:szCs w:val="18"/>
      </w:rPr>
      <w:t>1</w:t>
    </w:r>
    <w:r>
      <w:rPr>
        <w:rStyle w:val="PageNumber"/>
        <w:rFonts w:ascii="Arial" w:hAnsi="Arial" w:cs="Arial"/>
        <w:color w:val="808080"/>
        <w:sz w:val="18"/>
        <w:szCs w:val="18"/>
      </w:rPr>
      <w:fldChar w:fldCharType="end"/>
    </w:r>
    <w:r>
      <w:rPr>
        <w:rStyle w:val="PageNumber"/>
        <w:rFonts w:ascii="Arial" w:hAnsi="Arial" w:cs="Arial"/>
        <w:color w:val="808080"/>
        <w:sz w:val="18"/>
        <w:szCs w:val="18"/>
      </w:rPr>
      <w:t xml:space="preserve"> pages total)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7A4" w:rsidRDefault="00EA47A4">
      <w:r>
        <w:separator/>
      </w:r>
    </w:p>
  </w:footnote>
  <w:footnote w:type="continuationSeparator" w:id="0">
    <w:p w:rsidR="00EA47A4" w:rsidRDefault="00EA47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770391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1E4AD0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E14D7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584896"/>
    <w:lvl w:ilvl="0">
      <w:start w:val="1"/>
      <w:numFmt w:val="decimal"/>
      <w:pStyle w:val="ListNumber2"/>
      <w:lvlText w:val="%1."/>
      <w:lvlJc w:val="left"/>
      <w:pPr>
        <w:tabs>
          <w:tab w:val="num" w:pos="720"/>
        </w:tabs>
        <w:ind w:left="720" w:hanging="360"/>
      </w:pPr>
    </w:lvl>
  </w:abstractNum>
  <w:abstractNum w:abstractNumId="4">
    <w:nsid w:val="FFFFFF80"/>
    <w:multiLevelType w:val="singleLevel"/>
    <w:tmpl w:val="0F4299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D10907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3C49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7AEEA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D047764"/>
    <w:lvl w:ilvl="0">
      <w:start w:val="1"/>
      <w:numFmt w:val="decimal"/>
      <w:pStyle w:val="ListNumber"/>
      <w:lvlText w:val="%1."/>
      <w:lvlJc w:val="left"/>
      <w:pPr>
        <w:tabs>
          <w:tab w:val="num" w:pos="360"/>
        </w:tabs>
        <w:ind w:left="360" w:hanging="360"/>
      </w:pPr>
    </w:lvl>
  </w:abstractNum>
  <w:abstractNum w:abstractNumId="9">
    <w:nsid w:val="FFFFFF89"/>
    <w:multiLevelType w:val="singleLevel"/>
    <w:tmpl w:val="F2CE880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B5EF6"/>
    <w:multiLevelType w:val="hybridMultilevel"/>
    <w:tmpl w:val="8A0A4C78"/>
    <w:lvl w:ilvl="0" w:tplc="04090015">
      <w:start w:val="1"/>
      <w:numFmt w:val="upperLetter"/>
      <w:lvlText w:val="%1."/>
      <w:lvlJc w:val="left"/>
      <w:pPr>
        <w:tabs>
          <w:tab w:val="num" w:pos="720"/>
        </w:tabs>
        <w:ind w:left="720" w:hanging="360"/>
      </w:pPr>
    </w:lvl>
    <w:lvl w:ilvl="1" w:tplc="DC44994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59E2541"/>
    <w:multiLevelType w:val="hybridMultilevel"/>
    <w:tmpl w:val="D9425C24"/>
    <w:lvl w:ilvl="0" w:tplc="539CEB7C">
      <w:start w:val="1"/>
      <w:numFmt w:val="lowerRoman"/>
      <w:lvlText w:val="%1."/>
      <w:lvlJc w:val="right"/>
      <w:pPr>
        <w:tabs>
          <w:tab w:val="num" w:pos="1620"/>
        </w:tabs>
        <w:ind w:left="1620" w:hanging="180"/>
      </w:pPr>
      <w:rPr>
        <w:rFonts w:hint="default"/>
      </w:r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0D7868A8"/>
    <w:multiLevelType w:val="multilevel"/>
    <w:tmpl w:val="81DAEA7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6E7A17"/>
    <w:multiLevelType w:val="hybridMultilevel"/>
    <w:tmpl w:val="4C5E1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CC40A6"/>
    <w:multiLevelType w:val="hybridMultilevel"/>
    <w:tmpl w:val="0E9A75BC"/>
    <w:lvl w:ilvl="0" w:tplc="4E58E93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89A0DF8"/>
    <w:multiLevelType w:val="hybridMultilevel"/>
    <w:tmpl w:val="75943B0C"/>
    <w:lvl w:ilvl="0" w:tplc="395ABA58">
      <w:start w:val="1"/>
      <w:numFmt w:val="upperRoman"/>
      <w:lvlText w:val="%1."/>
      <w:lvlJc w:val="left"/>
      <w:pPr>
        <w:tabs>
          <w:tab w:val="num" w:pos="360"/>
        </w:tabs>
        <w:ind w:left="360" w:hanging="360"/>
      </w:pPr>
      <w:rPr>
        <w:rFonts w:ascii="Arial" w:hAnsi="Arial" w:hint="default"/>
        <w:b/>
        <w:i w:val="0"/>
        <w:sz w:val="24"/>
        <w:szCs w:val="24"/>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16E2FE9"/>
    <w:multiLevelType w:val="hybridMultilevel"/>
    <w:tmpl w:val="77A0D226"/>
    <w:lvl w:ilvl="0" w:tplc="4E58E93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D03165"/>
    <w:multiLevelType w:val="hybridMultilevel"/>
    <w:tmpl w:val="44944B42"/>
    <w:lvl w:ilvl="0" w:tplc="5DC48958">
      <w:start w:val="1"/>
      <w:numFmt w:val="bullet"/>
      <w:lvlText w:val=""/>
      <w:lvlJc w:val="left"/>
      <w:pPr>
        <w:tabs>
          <w:tab w:val="num" w:pos="2160"/>
        </w:tabs>
        <w:ind w:left="2160" w:hanging="360"/>
      </w:pPr>
      <w:rPr>
        <w:rFonts w:ascii="Symbol" w:hAnsi="Symbol" w:hint="default"/>
        <w:color w:val="A6A6A6"/>
        <w:sz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284771DA"/>
    <w:multiLevelType w:val="hybridMultilevel"/>
    <w:tmpl w:val="1E00497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2B2903CB"/>
    <w:multiLevelType w:val="hybridMultilevel"/>
    <w:tmpl w:val="6A1C2402"/>
    <w:lvl w:ilvl="0" w:tplc="F66E96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7F5D40"/>
    <w:multiLevelType w:val="hybridMultilevel"/>
    <w:tmpl w:val="3DD2343E"/>
    <w:lvl w:ilvl="0" w:tplc="59847FAA">
      <w:start w:val="1"/>
      <w:numFmt w:val="bullet"/>
      <w:lvlText w:val=""/>
      <w:lvlJc w:val="left"/>
      <w:pPr>
        <w:tabs>
          <w:tab w:val="num" w:pos="-2520"/>
        </w:tabs>
        <w:ind w:left="720" w:hanging="360"/>
      </w:pPr>
      <w:rPr>
        <w:rFonts w:ascii="Symbol" w:hAnsi="Symbol" w:hint="default"/>
        <w:b w:val="0"/>
        <w:i w:val="0"/>
        <w:color w:val="808080"/>
        <w:sz w:val="20"/>
        <w:szCs w:val="20"/>
      </w:rPr>
    </w:lvl>
    <w:lvl w:ilvl="1" w:tplc="04090015">
      <w:start w:val="1"/>
      <w:numFmt w:val="upperLetter"/>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4D3FE2"/>
    <w:multiLevelType w:val="hybridMultilevel"/>
    <w:tmpl w:val="28D02BF4"/>
    <w:lvl w:ilvl="0" w:tplc="59847FAA">
      <w:start w:val="1"/>
      <w:numFmt w:val="bullet"/>
      <w:lvlText w:val=""/>
      <w:lvlJc w:val="left"/>
      <w:pPr>
        <w:tabs>
          <w:tab w:val="num" w:pos="-2520"/>
        </w:tabs>
        <w:ind w:left="720" w:hanging="360"/>
      </w:pPr>
      <w:rPr>
        <w:rFonts w:ascii="Symbol" w:hAnsi="Symbol" w:hint="default"/>
        <w:b w:val="0"/>
        <w:i w:val="0"/>
        <w:color w:val="808080"/>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38C10FAD"/>
    <w:multiLevelType w:val="hybridMultilevel"/>
    <w:tmpl w:val="3D3A3FBE"/>
    <w:lvl w:ilvl="0" w:tplc="59847FAA">
      <w:start w:val="1"/>
      <w:numFmt w:val="bullet"/>
      <w:lvlText w:val=""/>
      <w:lvlJc w:val="left"/>
      <w:pPr>
        <w:tabs>
          <w:tab w:val="num" w:pos="-2520"/>
        </w:tabs>
        <w:ind w:left="720" w:hanging="360"/>
      </w:pPr>
      <w:rPr>
        <w:rFonts w:ascii="Symbol" w:hAnsi="Symbol" w:hint="default"/>
        <w:b w:val="0"/>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A023E4"/>
    <w:multiLevelType w:val="hybridMultilevel"/>
    <w:tmpl w:val="A39C27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3278DC"/>
    <w:multiLevelType w:val="hybridMultilevel"/>
    <w:tmpl w:val="B1080B92"/>
    <w:lvl w:ilvl="0" w:tplc="8594F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F642218"/>
    <w:multiLevelType w:val="hybridMultilevel"/>
    <w:tmpl w:val="37DA0514"/>
    <w:lvl w:ilvl="0" w:tplc="539CEB7C">
      <w:start w:val="1"/>
      <w:numFmt w:val="lowerRoman"/>
      <w:lvlText w:val="%1."/>
      <w:lvlJc w:val="right"/>
      <w:pPr>
        <w:tabs>
          <w:tab w:val="num" w:pos="1620"/>
        </w:tabs>
        <w:ind w:left="1620" w:hanging="1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418840B6"/>
    <w:multiLevelType w:val="hybridMultilevel"/>
    <w:tmpl w:val="AB323166"/>
    <w:lvl w:ilvl="0" w:tplc="5DC48958">
      <w:start w:val="1"/>
      <w:numFmt w:val="bullet"/>
      <w:lvlText w:val=""/>
      <w:lvlJc w:val="left"/>
      <w:pPr>
        <w:tabs>
          <w:tab w:val="num" w:pos="360"/>
        </w:tabs>
        <w:ind w:left="360" w:hanging="360"/>
      </w:pPr>
      <w:rPr>
        <w:rFonts w:ascii="Symbol" w:hAnsi="Symbol" w:hint="default"/>
        <w:color w:val="A6A6A6"/>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D283121"/>
    <w:multiLevelType w:val="hybridMultilevel"/>
    <w:tmpl w:val="F1144EEC"/>
    <w:lvl w:ilvl="0" w:tplc="59847FAA">
      <w:start w:val="1"/>
      <w:numFmt w:val="bullet"/>
      <w:lvlText w:val=""/>
      <w:lvlJc w:val="left"/>
      <w:pPr>
        <w:tabs>
          <w:tab w:val="num" w:pos="-1800"/>
        </w:tabs>
        <w:ind w:left="1440" w:hanging="360"/>
      </w:pPr>
      <w:rPr>
        <w:rFonts w:ascii="Symbol" w:hAnsi="Symbol" w:hint="default"/>
        <w:b w:val="0"/>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E031596"/>
    <w:multiLevelType w:val="hybridMultilevel"/>
    <w:tmpl w:val="A3E2A014"/>
    <w:lvl w:ilvl="0" w:tplc="59847FAA">
      <w:start w:val="1"/>
      <w:numFmt w:val="bullet"/>
      <w:lvlText w:val=""/>
      <w:lvlJc w:val="left"/>
      <w:pPr>
        <w:tabs>
          <w:tab w:val="num" w:pos="-2520"/>
        </w:tabs>
        <w:ind w:left="720" w:hanging="360"/>
      </w:pPr>
      <w:rPr>
        <w:rFonts w:ascii="Symbol" w:hAnsi="Symbol" w:hint="default"/>
        <w:b w:val="0"/>
        <w:i w:val="0"/>
        <w:color w:val="808080"/>
        <w:sz w:val="20"/>
        <w:szCs w:val="20"/>
      </w:rPr>
    </w:lvl>
    <w:lvl w:ilvl="1" w:tplc="04090015">
      <w:start w:val="1"/>
      <w:numFmt w:val="upperLetter"/>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4753C0"/>
    <w:multiLevelType w:val="hybridMultilevel"/>
    <w:tmpl w:val="6E62378E"/>
    <w:lvl w:ilvl="0" w:tplc="59847FAA">
      <w:start w:val="1"/>
      <w:numFmt w:val="bullet"/>
      <w:lvlText w:val=""/>
      <w:lvlJc w:val="left"/>
      <w:pPr>
        <w:tabs>
          <w:tab w:val="num" w:pos="-2520"/>
        </w:tabs>
        <w:ind w:left="720" w:hanging="360"/>
      </w:pPr>
      <w:rPr>
        <w:rFonts w:ascii="Symbol" w:hAnsi="Symbol" w:hint="default"/>
        <w:b w:val="0"/>
        <w:i w:val="0"/>
        <w:color w:val="808080"/>
        <w:sz w:val="20"/>
        <w:szCs w:val="20"/>
      </w:rPr>
    </w:lvl>
    <w:lvl w:ilvl="1" w:tplc="04090015">
      <w:start w:val="1"/>
      <w:numFmt w:val="upperLetter"/>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25"/>
  </w:num>
  <w:num w:numId="4">
    <w:abstractNumId w:val="11"/>
  </w:num>
  <w:num w:numId="5">
    <w:abstractNumId w:val="15"/>
  </w:num>
  <w:num w:numId="6">
    <w:abstractNumId w:val="10"/>
  </w:num>
  <w:num w:numId="7">
    <w:abstractNumId w:val="29"/>
  </w:num>
  <w:num w:numId="8">
    <w:abstractNumId w:val="20"/>
  </w:num>
  <w:num w:numId="9">
    <w:abstractNumId w:val="21"/>
  </w:num>
  <w:num w:numId="10">
    <w:abstractNumId w:val="22"/>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7"/>
  </w:num>
  <w:num w:numId="23">
    <w:abstractNumId w:val="24"/>
  </w:num>
  <w:num w:numId="24">
    <w:abstractNumId w:val="19"/>
  </w:num>
  <w:num w:numId="25">
    <w:abstractNumId w:val="18"/>
  </w:num>
  <w:num w:numId="26">
    <w:abstractNumId w:val="14"/>
  </w:num>
  <w:num w:numId="27">
    <w:abstractNumId w:val="16"/>
  </w:num>
  <w:num w:numId="28">
    <w:abstractNumId w:val="17"/>
  </w:num>
  <w:num w:numId="29">
    <w:abstractNumId w:val="2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126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2D9"/>
    <w:rsid w:val="00013EF6"/>
    <w:rsid w:val="0003505C"/>
    <w:rsid w:val="000420C6"/>
    <w:rsid w:val="00045EB4"/>
    <w:rsid w:val="00047B0F"/>
    <w:rsid w:val="0005659E"/>
    <w:rsid w:val="000A0763"/>
    <w:rsid w:val="000A103E"/>
    <w:rsid w:val="000A1FC5"/>
    <w:rsid w:val="000D41F0"/>
    <w:rsid w:val="000F2309"/>
    <w:rsid w:val="000F4ABA"/>
    <w:rsid w:val="001464E4"/>
    <w:rsid w:val="00160B7B"/>
    <w:rsid w:val="0018375A"/>
    <w:rsid w:val="00194DDD"/>
    <w:rsid w:val="001A517C"/>
    <w:rsid w:val="001D344B"/>
    <w:rsid w:val="002150E8"/>
    <w:rsid w:val="00221BF5"/>
    <w:rsid w:val="00222173"/>
    <w:rsid w:val="002270A8"/>
    <w:rsid w:val="0024749D"/>
    <w:rsid w:val="00253ECC"/>
    <w:rsid w:val="0027712D"/>
    <w:rsid w:val="002865A9"/>
    <w:rsid w:val="00287FA2"/>
    <w:rsid w:val="002A6A15"/>
    <w:rsid w:val="002B73F0"/>
    <w:rsid w:val="0030293A"/>
    <w:rsid w:val="00321A0C"/>
    <w:rsid w:val="00340D7E"/>
    <w:rsid w:val="00355F3B"/>
    <w:rsid w:val="003B4B7F"/>
    <w:rsid w:val="003B52D9"/>
    <w:rsid w:val="0040289A"/>
    <w:rsid w:val="0041595D"/>
    <w:rsid w:val="00442C29"/>
    <w:rsid w:val="00443292"/>
    <w:rsid w:val="004631BF"/>
    <w:rsid w:val="004B217D"/>
    <w:rsid w:val="004E053C"/>
    <w:rsid w:val="004E5E74"/>
    <w:rsid w:val="004F2BD2"/>
    <w:rsid w:val="00526B8F"/>
    <w:rsid w:val="00527258"/>
    <w:rsid w:val="005371B6"/>
    <w:rsid w:val="005679FC"/>
    <w:rsid w:val="0058047A"/>
    <w:rsid w:val="00584BE6"/>
    <w:rsid w:val="00585252"/>
    <w:rsid w:val="00590003"/>
    <w:rsid w:val="005B3D00"/>
    <w:rsid w:val="005F320D"/>
    <w:rsid w:val="005F7630"/>
    <w:rsid w:val="00601BCB"/>
    <w:rsid w:val="00605652"/>
    <w:rsid w:val="0061521A"/>
    <w:rsid w:val="00635C8A"/>
    <w:rsid w:val="006379AE"/>
    <w:rsid w:val="0065744D"/>
    <w:rsid w:val="006F20E2"/>
    <w:rsid w:val="0070030D"/>
    <w:rsid w:val="00704DFD"/>
    <w:rsid w:val="00707254"/>
    <w:rsid w:val="00710B37"/>
    <w:rsid w:val="007110DA"/>
    <w:rsid w:val="0072513E"/>
    <w:rsid w:val="0074439D"/>
    <w:rsid w:val="00751292"/>
    <w:rsid w:val="007A08A2"/>
    <w:rsid w:val="007D3501"/>
    <w:rsid w:val="007D6C76"/>
    <w:rsid w:val="007F5766"/>
    <w:rsid w:val="008232F0"/>
    <w:rsid w:val="00832F17"/>
    <w:rsid w:val="00853C9E"/>
    <w:rsid w:val="00865FEE"/>
    <w:rsid w:val="00872FAC"/>
    <w:rsid w:val="00897D59"/>
    <w:rsid w:val="008B43BC"/>
    <w:rsid w:val="008F5519"/>
    <w:rsid w:val="00912744"/>
    <w:rsid w:val="0095692E"/>
    <w:rsid w:val="00971729"/>
    <w:rsid w:val="009B7442"/>
    <w:rsid w:val="009D01F3"/>
    <w:rsid w:val="00A0530A"/>
    <w:rsid w:val="00A1060C"/>
    <w:rsid w:val="00A136FA"/>
    <w:rsid w:val="00A420BE"/>
    <w:rsid w:val="00A6394E"/>
    <w:rsid w:val="00A7201A"/>
    <w:rsid w:val="00A744AB"/>
    <w:rsid w:val="00A96BCE"/>
    <w:rsid w:val="00AA3458"/>
    <w:rsid w:val="00AD5FBD"/>
    <w:rsid w:val="00AE08D3"/>
    <w:rsid w:val="00B02CF6"/>
    <w:rsid w:val="00B07B21"/>
    <w:rsid w:val="00B21572"/>
    <w:rsid w:val="00B33646"/>
    <w:rsid w:val="00B423E3"/>
    <w:rsid w:val="00B9305F"/>
    <w:rsid w:val="00BD0DBD"/>
    <w:rsid w:val="00BD7EE6"/>
    <w:rsid w:val="00BE0529"/>
    <w:rsid w:val="00C26C66"/>
    <w:rsid w:val="00C276E6"/>
    <w:rsid w:val="00C4697C"/>
    <w:rsid w:val="00C61393"/>
    <w:rsid w:val="00C64185"/>
    <w:rsid w:val="00C66CF3"/>
    <w:rsid w:val="00C94B97"/>
    <w:rsid w:val="00CA57E3"/>
    <w:rsid w:val="00CD14AA"/>
    <w:rsid w:val="00CD4A28"/>
    <w:rsid w:val="00CE461D"/>
    <w:rsid w:val="00CE7423"/>
    <w:rsid w:val="00CF121A"/>
    <w:rsid w:val="00D178FB"/>
    <w:rsid w:val="00D310D9"/>
    <w:rsid w:val="00D34597"/>
    <w:rsid w:val="00D47CE2"/>
    <w:rsid w:val="00D56DB3"/>
    <w:rsid w:val="00D60747"/>
    <w:rsid w:val="00D72126"/>
    <w:rsid w:val="00D80A89"/>
    <w:rsid w:val="00D87129"/>
    <w:rsid w:val="00D97BFA"/>
    <w:rsid w:val="00DA55B0"/>
    <w:rsid w:val="00DB1BB3"/>
    <w:rsid w:val="00DF524C"/>
    <w:rsid w:val="00E10C16"/>
    <w:rsid w:val="00E2250E"/>
    <w:rsid w:val="00E22F4A"/>
    <w:rsid w:val="00E50A91"/>
    <w:rsid w:val="00E547AF"/>
    <w:rsid w:val="00E66B6C"/>
    <w:rsid w:val="00E72732"/>
    <w:rsid w:val="00E73D9C"/>
    <w:rsid w:val="00E831EB"/>
    <w:rsid w:val="00E84779"/>
    <w:rsid w:val="00E853A3"/>
    <w:rsid w:val="00EA47A4"/>
    <w:rsid w:val="00EA49A5"/>
    <w:rsid w:val="00ED645A"/>
    <w:rsid w:val="00ED740F"/>
    <w:rsid w:val="00EE0722"/>
    <w:rsid w:val="00EE683A"/>
    <w:rsid w:val="00F0395A"/>
    <w:rsid w:val="00F11CB8"/>
    <w:rsid w:val="00F36B4D"/>
    <w:rsid w:val="00F52102"/>
    <w:rsid w:val="00F93D1D"/>
    <w:rsid w:val="00FD1B69"/>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bCs/>
      <w:smallCaps/>
      <w:sz w:val="22"/>
    </w:rPr>
  </w:style>
  <w:style w:type="paragraph" w:styleId="Heading2">
    <w:name w:val="heading 2"/>
    <w:basedOn w:val="Normal"/>
    <w:next w:val="Normal"/>
    <w:qFormat/>
    <w:pPr>
      <w:keepNext/>
      <w:spacing w:after="120"/>
      <w:outlineLvl w:val="1"/>
    </w:pPr>
    <w:rPr>
      <w:b/>
      <w:bCs/>
      <w:smallCaps/>
      <w:sz w:val="22"/>
      <w:u w:val="double"/>
    </w:rPr>
  </w:style>
  <w:style w:type="paragraph" w:styleId="Heading3">
    <w:name w:val="heading 3"/>
    <w:basedOn w:val="Normal"/>
    <w:next w:val="Normal"/>
    <w:qFormat/>
    <w:pPr>
      <w:keepNext/>
      <w:spacing w:after="120"/>
      <w:outlineLvl w:val="2"/>
    </w:pPr>
    <w:rPr>
      <w:b/>
      <w:bCs/>
      <w:smallCaps/>
      <w:sz w:val="20"/>
      <w:u w:val="double"/>
    </w:rPr>
  </w:style>
  <w:style w:type="paragraph" w:styleId="Heading4">
    <w:name w:val="heading 4"/>
    <w:basedOn w:val="Normal"/>
    <w:next w:val="Normal"/>
    <w:qFormat/>
    <w:pPr>
      <w:keepNext/>
      <w:ind w:left="2520"/>
      <w:outlineLvl w:val="3"/>
    </w:pPr>
    <w:rPr>
      <w:b/>
      <w:bCs/>
    </w:rPr>
  </w:style>
  <w:style w:type="paragraph" w:styleId="Heading5">
    <w:name w:val="heading 5"/>
    <w:basedOn w:val="Normal"/>
    <w:next w:val="Normal"/>
    <w:qFormat/>
    <w:pPr>
      <w:keepNext/>
      <w:ind w:firstLine="2520"/>
      <w:outlineLvl w:val="4"/>
    </w:pPr>
    <w:rPr>
      <w:b/>
      <w:bCs/>
    </w:rPr>
  </w:style>
  <w:style w:type="paragraph" w:styleId="Heading6">
    <w:name w:val="heading 6"/>
    <w:basedOn w:val="Normal"/>
    <w:next w:val="Normal"/>
    <w:qFormat/>
    <w:pPr>
      <w:spacing w:before="240" w:after="60"/>
      <w:outlineLvl w:val="5"/>
    </w:pPr>
    <w:rPr>
      <w:rFonts w:ascii="Arial" w:hAnsi="Arial"/>
      <w:bCs/>
      <w:color w:val="FFFFFF"/>
      <w:sz w:val="22"/>
      <w:szCs w:val="22"/>
    </w:rPr>
  </w:style>
  <w:style w:type="paragraph" w:styleId="Heading7">
    <w:name w:val="heading 7"/>
    <w:basedOn w:val="Normal"/>
    <w:next w:val="Normal"/>
    <w:qFormat/>
    <w:pPr>
      <w:keepNext/>
      <w:autoSpaceDE w:val="0"/>
      <w:autoSpaceDN w:val="0"/>
      <w:adjustRightInd w:val="0"/>
      <w:ind w:left="720"/>
      <w:outlineLvl w:val="6"/>
    </w:pPr>
    <w:rPr>
      <w:szCs w:val="24"/>
      <w:u w:val="single"/>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3">
    <w:name w:val="Body Text 3"/>
    <w:basedOn w:val="Normal"/>
  </w:style>
  <w:style w:type="paragraph" w:styleId="BodyText2">
    <w:name w:val="Body Text 2"/>
    <w:basedOn w:val="Normal"/>
    <w:pPr>
      <w:overflowPunct w:val="0"/>
      <w:autoSpaceDE w:val="0"/>
      <w:autoSpaceDN w:val="0"/>
      <w:adjustRightInd w:val="0"/>
      <w:ind w:left="2520"/>
      <w:textAlignment w:val="baseline"/>
    </w:pPr>
    <w:rPr>
      <w:rFonts w:ascii="Arial" w:hAnsi="Arial"/>
      <w:sz w:val="22"/>
    </w:rPr>
  </w:style>
  <w:style w:type="character" w:styleId="Hyperlink">
    <w:name w:val="Hyperlink"/>
    <w:basedOn w:val="DefaultParagraphFont"/>
    <w:uiPriority w:val="99"/>
    <w:rPr>
      <w:color w:val="0000FF"/>
      <w:u w:val="single"/>
    </w:rPr>
  </w:style>
  <w:style w:type="paragraph" w:styleId="BodyTextIndent">
    <w:name w:val="Body Text Indent"/>
    <w:basedOn w:val="Normal"/>
    <w:pPr>
      <w:tabs>
        <w:tab w:val="left" w:pos="180"/>
      </w:tabs>
      <w:ind w:left="720"/>
    </w:pPr>
  </w:style>
  <w:style w:type="paragraph" w:styleId="BodyTextIndent2">
    <w:name w:val="Body Text Indent 2"/>
    <w:basedOn w:val="Normal"/>
    <w:pPr>
      <w:tabs>
        <w:tab w:val="left" w:pos="3240"/>
      </w:tabs>
      <w:ind w:left="216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character" w:styleId="FollowedHyperlink">
    <w:name w:val="FollowedHyperlink"/>
    <w:basedOn w:val="DefaultParagraphFont"/>
    <w:rPr>
      <w:color w:val="0000FF"/>
      <w:u w:val="single"/>
    </w:rPr>
  </w:style>
  <w:style w:type="character" w:customStyle="1" w:styleId="bodytext1">
    <w:name w:val="bodytext1"/>
    <w:basedOn w:val="DefaultParagraphFont"/>
    <w:rPr>
      <w:rFonts w:ascii="Arial" w:hAnsi="Arial" w:cs="Arial" w:hint="default"/>
      <w:b w:val="0"/>
      <w:bCs w:val="0"/>
      <w:i w:val="0"/>
      <w:iCs w:val="0"/>
      <w:color w:val="313131"/>
      <w:sz w:val="17"/>
      <w:szCs w:val="17"/>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paragraph" w:styleId="BodyTextIndent3">
    <w:name w:val="Body Text Indent 3"/>
    <w:basedOn w:val="Normal"/>
    <w:pPr>
      <w:ind w:left="3960" w:hanging="360"/>
    </w:p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rPr>
  </w:style>
  <w:style w:type="table" w:styleId="TableGrid">
    <w:name w:val="Table Grid"/>
    <w:basedOn w:val="TableNormal"/>
    <w:rsid w:val="00725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BodyText">
    <w:name w:val="Body Text"/>
    <w:basedOn w:val="Normal"/>
    <w:pPr>
      <w:autoSpaceDE w:val="0"/>
      <w:autoSpaceDN w:val="0"/>
      <w:adjustRightInd w:val="0"/>
    </w:pPr>
    <w:rPr>
      <w:color w:val="000000"/>
      <w:szCs w:val="24"/>
    </w:rPr>
  </w:style>
  <w:style w:type="paragraph" w:styleId="BlockText">
    <w:name w:val="Block Text"/>
    <w:basedOn w:val="Normal"/>
    <w:pPr>
      <w:spacing w:after="120"/>
      <w:ind w:left="1440" w:right="1440"/>
    </w:pPr>
  </w:style>
  <w:style w:type="paragraph" w:styleId="BodyTextFirstIndent">
    <w:name w:val="Body Text First Indent"/>
    <w:basedOn w:val="BodyText"/>
    <w:pPr>
      <w:autoSpaceDE/>
      <w:autoSpaceDN/>
      <w:adjustRightInd/>
      <w:spacing w:after="120"/>
      <w:ind w:firstLine="210"/>
    </w:pPr>
    <w:rPr>
      <w:color w:val="auto"/>
      <w:szCs w:val="20"/>
    </w:rPr>
  </w:style>
  <w:style w:type="paragraph" w:styleId="BodyTextFirstIndent2">
    <w:name w:val="Body Text First Indent 2"/>
    <w:basedOn w:val="BodyTextIndent"/>
    <w:pPr>
      <w:tabs>
        <w:tab w:val="clear" w:pos="180"/>
      </w:tabs>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uiPriority w:val="39"/>
    <w:rsid w:val="00DF524C"/>
    <w:pPr>
      <w:tabs>
        <w:tab w:val="left" w:pos="450"/>
        <w:tab w:val="right" w:leader="dot" w:pos="9350"/>
      </w:tabs>
      <w:spacing w:before="120" w:after="60"/>
    </w:pPr>
    <w:rPr>
      <w:rFonts w:ascii="Arial" w:hAnsi="Arial" w:cs="Arial"/>
      <w:noProof/>
      <w:sz w:val="22"/>
    </w:rPr>
  </w:style>
  <w:style w:type="paragraph" w:styleId="TOC2">
    <w:name w:val="toc 2"/>
    <w:basedOn w:val="Normal"/>
    <w:next w:val="Normal"/>
    <w:autoRedefine/>
    <w:uiPriority w:val="39"/>
    <w:pPr>
      <w:spacing w:after="60"/>
      <w:ind w:left="245"/>
    </w:pPr>
    <w:rPr>
      <w:rFonts w:ascii="Arial" w:hAnsi="Arial"/>
      <w:sz w:val="20"/>
    </w:rPr>
  </w:style>
  <w:style w:type="paragraph" w:styleId="TOC3">
    <w:name w:val="toc 3"/>
    <w:basedOn w:val="Normal"/>
    <w:next w:val="Normal"/>
    <w:autoRedefine/>
    <w:semiHidden/>
    <w:pPr>
      <w:ind w:left="480"/>
    </w:pPr>
    <w:rPr>
      <w:rFonts w:ascii="Arial" w:hAnsi="Arial"/>
      <w:sz w:val="22"/>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Arial10ptBlackLinespacingAtleast12pt">
    <w:name w:val="Style Arial 10 pt Black Line spacing:  At least 12 pt"/>
    <w:basedOn w:val="Normal"/>
    <w:next w:val="BodyText"/>
    <w:pPr>
      <w:spacing w:line="240" w:lineRule="atLeast"/>
    </w:pPr>
    <w:rPr>
      <w:rFonts w:ascii="Arial" w:hAnsi="Arial"/>
      <w:color w:val="000000"/>
      <w:sz w:val="20"/>
    </w:rPr>
  </w:style>
  <w:style w:type="character" w:customStyle="1" w:styleId="FooterChar">
    <w:name w:val="Footer Char"/>
    <w:basedOn w:val="DefaultParagraphFont"/>
    <w:link w:val="Footer"/>
    <w:uiPriority w:val="99"/>
    <w:rsid w:val="00D178FB"/>
    <w:rPr>
      <w:sz w:val="24"/>
    </w:rPr>
  </w:style>
  <w:style w:type="paragraph" w:styleId="ListParagraph">
    <w:name w:val="List Paragraph"/>
    <w:basedOn w:val="Normal"/>
    <w:uiPriority w:val="34"/>
    <w:qFormat/>
    <w:rsid w:val="00056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bCs/>
      <w:smallCaps/>
      <w:sz w:val="22"/>
    </w:rPr>
  </w:style>
  <w:style w:type="paragraph" w:styleId="Heading2">
    <w:name w:val="heading 2"/>
    <w:basedOn w:val="Normal"/>
    <w:next w:val="Normal"/>
    <w:qFormat/>
    <w:pPr>
      <w:keepNext/>
      <w:spacing w:after="120"/>
      <w:outlineLvl w:val="1"/>
    </w:pPr>
    <w:rPr>
      <w:b/>
      <w:bCs/>
      <w:smallCaps/>
      <w:sz w:val="22"/>
      <w:u w:val="double"/>
    </w:rPr>
  </w:style>
  <w:style w:type="paragraph" w:styleId="Heading3">
    <w:name w:val="heading 3"/>
    <w:basedOn w:val="Normal"/>
    <w:next w:val="Normal"/>
    <w:qFormat/>
    <w:pPr>
      <w:keepNext/>
      <w:spacing w:after="120"/>
      <w:outlineLvl w:val="2"/>
    </w:pPr>
    <w:rPr>
      <w:b/>
      <w:bCs/>
      <w:smallCaps/>
      <w:sz w:val="20"/>
      <w:u w:val="double"/>
    </w:rPr>
  </w:style>
  <w:style w:type="paragraph" w:styleId="Heading4">
    <w:name w:val="heading 4"/>
    <w:basedOn w:val="Normal"/>
    <w:next w:val="Normal"/>
    <w:qFormat/>
    <w:pPr>
      <w:keepNext/>
      <w:ind w:left="2520"/>
      <w:outlineLvl w:val="3"/>
    </w:pPr>
    <w:rPr>
      <w:b/>
      <w:bCs/>
    </w:rPr>
  </w:style>
  <w:style w:type="paragraph" w:styleId="Heading5">
    <w:name w:val="heading 5"/>
    <w:basedOn w:val="Normal"/>
    <w:next w:val="Normal"/>
    <w:qFormat/>
    <w:pPr>
      <w:keepNext/>
      <w:ind w:firstLine="2520"/>
      <w:outlineLvl w:val="4"/>
    </w:pPr>
    <w:rPr>
      <w:b/>
      <w:bCs/>
    </w:rPr>
  </w:style>
  <w:style w:type="paragraph" w:styleId="Heading6">
    <w:name w:val="heading 6"/>
    <w:basedOn w:val="Normal"/>
    <w:next w:val="Normal"/>
    <w:qFormat/>
    <w:pPr>
      <w:spacing w:before="240" w:after="60"/>
      <w:outlineLvl w:val="5"/>
    </w:pPr>
    <w:rPr>
      <w:rFonts w:ascii="Arial" w:hAnsi="Arial"/>
      <w:bCs/>
      <w:color w:val="FFFFFF"/>
      <w:sz w:val="22"/>
      <w:szCs w:val="22"/>
    </w:rPr>
  </w:style>
  <w:style w:type="paragraph" w:styleId="Heading7">
    <w:name w:val="heading 7"/>
    <w:basedOn w:val="Normal"/>
    <w:next w:val="Normal"/>
    <w:qFormat/>
    <w:pPr>
      <w:keepNext/>
      <w:autoSpaceDE w:val="0"/>
      <w:autoSpaceDN w:val="0"/>
      <w:adjustRightInd w:val="0"/>
      <w:ind w:left="720"/>
      <w:outlineLvl w:val="6"/>
    </w:pPr>
    <w:rPr>
      <w:szCs w:val="24"/>
      <w:u w:val="single"/>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3">
    <w:name w:val="Body Text 3"/>
    <w:basedOn w:val="Normal"/>
  </w:style>
  <w:style w:type="paragraph" w:styleId="BodyText2">
    <w:name w:val="Body Text 2"/>
    <w:basedOn w:val="Normal"/>
    <w:pPr>
      <w:overflowPunct w:val="0"/>
      <w:autoSpaceDE w:val="0"/>
      <w:autoSpaceDN w:val="0"/>
      <w:adjustRightInd w:val="0"/>
      <w:ind w:left="2520"/>
      <w:textAlignment w:val="baseline"/>
    </w:pPr>
    <w:rPr>
      <w:rFonts w:ascii="Arial" w:hAnsi="Arial"/>
      <w:sz w:val="22"/>
    </w:rPr>
  </w:style>
  <w:style w:type="character" w:styleId="Hyperlink">
    <w:name w:val="Hyperlink"/>
    <w:basedOn w:val="DefaultParagraphFont"/>
    <w:uiPriority w:val="99"/>
    <w:rPr>
      <w:color w:val="0000FF"/>
      <w:u w:val="single"/>
    </w:rPr>
  </w:style>
  <w:style w:type="paragraph" w:styleId="BodyTextIndent">
    <w:name w:val="Body Text Indent"/>
    <w:basedOn w:val="Normal"/>
    <w:pPr>
      <w:tabs>
        <w:tab w:val="left" w:pos="180"/>
      </w:tabs>
      <w:ind w:left="720"/>
    </w:pPr>
  </w:style>
  <w:style w:type="paragraph" w:styleId="BodyTextIndent2">
    <w:name w:val="Body Text Indent 2"/>
    <w:basedOn w:val="Normal"/>
    <w:pPr>
      <w:tabs>
        <w:tab w:val="left" w:pos="3240"/>
      </w:tabs>
      <w:ind w:left="216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character" w:styleId="FollowedHyperlink">
    <w:name w:val="FollowedHyperlink"/>
    <w:basedOn w:val="DefaultParagraphFont"/>
    <w:rPr>
      <w:color w:val="0000FF"/>
      <w:u w:val="single"/>
    </w:rPr>
  </w:style>
  <w:style w:type="character" w:customStyle="1" w:styleId="bodytext1">
    <w:name w:val="bodytext1"/>
    <w:basedOn w:val="DefaultParagraphFont"/>
    <w:rPr>
      <w:rFonts w:ascii="Arial" w:hAnsi="Arial" w:cs="Arial" w:hint="default"/>
      <w:b w:val="0"/>
      <w:bCs w:val="0"/>
      <w:i w:val="0"/>
      <w:iCs w:val="0"/>
      <w:color w:val="313131"/>
      <w:sz w:val="17"/>
      <w:szCs w:val="17"/>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paragraph" w:styleId="BodyTextIndent3">
    <w:name w:val="Body Text Indent 3"/>
    <w:basedOn w:val="Normal"/>
    <w:pPr>
      <w:ind w:left="3960" w:hanging="360"/>
    </w:p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rPr>
  </w:style>
  <w:style w:type="table" w:styleId="TableGrid">
    <w:name w:val="Table Grid"/>
    <w:basedOn w:val="TableNormal"/>
    <w:rsid w:val="00725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BodyText">
    <w:name w:val="Body Text"/>
    <w:basedOn w:val="Normal"/>
    <w:pPr>
      <w:autoSpaceDE w:val="0"/>
      <w:autoSpaceDN w:val="0"/>
      <w:adjustRightInd w:val="0"/>
    </w:pPr>
    <w:rPr>
      <w:color w:val="000000"/>
      <w:szCs w:val="24"/>
    </w:rPr>
  </w:style>
  <w:style w:type="paragraph" w:styleId="BlockText">
    <w:name w:val="Block Text"/>
    <w:basedOn w:val="Normal"/>
    <w:pPr>
      <w:spacing w:after="120"/>
      <w:ind w:left="1440" w:right="1440"/>
    </w:pPr>
  </w:style>
  <w:style w:type="paragraph" w:styleId="BodyTextFirstIndent">
    <w:name w:val="Body Text First Indent"/>
    <w:basedOn w:val="BodyText"/>
    <w:pPr>
      <w:autoSpaceDE/>
      <w:autoSpaceDN/>
      <w:adjustRightInd/>
      <w:spacing w:after="120"/>
      <w:ind w:firstLine="210"/>
    </w:pPr>
    <w:rPr>
      <w:color w:val="auto"/>
      <w:szCs w:val="20"/>
    </w:rPr>
  </w:style>
  <w:style w:type="paragraph" w:styleId="BodyTextFirstIndent2">
    <w:name w:val="Body Text First Indent 2"/>
    <w:basedOn w:val="BodyTextIndent"/>
    <w:pPr>
      <w:tabs>
        <w:tab w:val="clear" w:pos="180"/>
      </w:tabs>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uiPriority w:val="39"/>
    <w:rsid w:val="00DF524C"/>
    <w:pPr>
      <w:tabs>
        <w:tab w:val="left" w:pos="450"/>
        <w:tab w:val="right" w:leader="dot" w:pos="9350"/>
      </w:tabs>
      <w:spacing w:before="120" w:after="60"/>
    </w:pPr>
    <w:rPr>
      <w:rFonts w:ascii="Arial" w:hAnsi="Arial" w:cs="Arial"/>
      <w:noProof/>
      <w:sz w:val="22"/>
    </w:rPr>
  </w:style>
  <w:style w:type="paragraph" w:styleId="TOC2">
    <w:name w:val="toc 2"/>
    <w:basedOn w:val="Normal"/>
    <w:next w:val="Normal"/>
    <w:autoRedefine/>
    <w:uiPriority w:val="39"/>
    <w:pPr>
      <w:spacing w:after="60"/>
      <w:ind w:left="245"/>
    </w:pPr>
    <w:rPr>
      <w:rFonts w:ascii="Arial" w:hAnsi="Arial"/>
      <w:sz w:val="20"/>
    </w:rPr>
  </w:style>
  <w:style w:type="paragraph" w:styleId="TOC3">
    <w:name w:val="toc 3"/>
    <w:basedOn w:val="Normal"/>
    <w:next w:val="Normal"/>
    <w:autoRedefine/>
    <w:semiHidden/>
    <w:pPr>
      <w:ind w:left="480"/>
    </w:pPr>
    <w:rPr>
      <w:rFonts w:ascii="Arial" w:hAnsi="Arial"/>
      <w:sz w:val="22"/>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Arial10ptBlackLinespacingAtleast12pt">
    <w:name w:val="Style Arial 10 pt Black Line spacing:  At least 12 pt"/>
    <w:basedOn w:val="Normal"/>
    <w:next w:val="BodyText"/>
    <w:pPr>
      <w:spacing w:line="240" w:lineRule="atLeast"/>
    </w:pPr>
    <w:rPr>
      <w:rFonts w:ascii="Arial" w:hAnsi="Arial"/>
      <w:color w:val="000000"/>
      <w:sz w:val="20"/>
    </w:rPr>
  </w:style>
  <w:style w:type="character" w:customStyle="1" w:styleId="FooterChar">
    <w:name w:val="Footer Char"/>
    <w:basedOn w:val="DefaultParagraphFont"/>
    <w:link w:val="Footer"/>
    <w:uiPriority w:val="99"/>
    <w:rsid w:val="00D178FB"/>
    <w:rPr>
      <w:sz w:val="24"/>
    </w:rPr>
  </w:style>
  <w:style w:type="paragraph" w:styleId="ListParagraph">
    <w:name w:val="List Paragraph"/>
    <w:basedOn w:val="Normal"/>
    <w:uiPriority w:val="34"/>
    <w:qFormat/>
    <w:rsid w:val="0005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1477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000 - General</vt:lpstr>
    </vt:vector>
  </TitlesOfParts>
  <Company>Mellon Bank</Company>
  <LinksUpToDate>false</LinksUpToDate>
  <CharactersWithSpaces>10392</CharactersWithSpaces>
  <SharedDoc>false</SharedDoc>
  <HLinks>
    <vt:vector size="90" baseType="variant">
      <vt:variant>
        <vt:i4>1310778</vt:i4>
      </vt:variant>
      <vt:variant>
        <vt:i4>44</vt:i4>
      </vt:variant>
      <vt:variant>
        <vt:i4>0</vt:i4>
      </vt:variant>
      <vt:variant>
        <vt:i4>5</vt:i4>
      </vt:variant>
      <vt:variant>
        <vt:lpwstr/>
      </vt:variant>
      <vt:variant>
        <vt:lpwstr>_Toc302482354</vt:lpwstr>
      </vt:variant>
      <vt:variant>
        <vt:i4>1310778</vt:i4>
      </vt:variant>
      <vt:variant>
        <vt:i4>41</vt:i4>
      </vt:variant>
      <vt:variant>
        <vt:i4>0</vt:i4>
      </vt:variant>
      <vt:variant>
        <vt:i4>5</vt:i4>
      </vt:variant>
      <vt:variant>
        <vt:lpwstr/>
      </vt:variant>
      <vt:variant>
        <vt:lpwstr>_Toc302482353</vt:lpwstr>
      </vt:variant>
      <vt:variant>
        <vt:i4>1310778</vt:i4>
      </vt:variant>
      <vt:variant>
        <vt:i4>38</vt:i4>
      </vt:variant>
      <vt:variant>
        <vt:i4>0</vt:i4>
      </vt:variant>
      <vt:variant>
        <vt:i4>5</vt:i4>
      </vt:variant>
      <vt:variant>
        <vt:lpwstr/>
      </vt:variant>
      <vt:variant>
        <vt:lpwstr>_Toc302482352</vt:lpwstr>
      </vt:variant>
      <vt:variant>
        <vt:i4>1310778</vt:i4>
      </vt:variant>
      <vt:variant>
        <vt:i4>35</vt:i4>
      </vt:variant>
      <vt:variant>
        <vt:i4>0</vt:i4>
      </vt:variant>
      <vt:variant>
        <vt:i4>5</vt:i4>
      </vt:variant>
      <vt:variant>
        <vt:lpwstr/>
      </vt:variant>
      <vt:variant>
        <vt:lpwstr>_Toc302482351</vt:lpwstr>
      </vt:variant>
      <vt:variant>
        <vt:i4>1310778</vt:i4>
      </vt:variant>
      <vt:variant>
        <vt:i4>32</vt:i4>
      </vt:variant>
      <vt:variant>
        <vt:i4>0</vt:i4>
      </vt:variant>
      <vt:variant>
        <vt:i4>5</vt:i4>
      </vt:variant>
      <vt:variant>
        <vt:lpwstr/>
      </vt:variant>
      <vt:variant>
        <vt:lpwstr>_Toc302482350</vt:lpwstr>
      </vt:variant>
      <vt:variant>
        <vt:i4>1376314</vt:i4>
      </vt:variant>
      <vt:variant>
        <vt:i4>29</vt:i4>
      </vt:variant>
      <vt:variant>
        <vt:i4>0</vt:i4>
      </vt:variant>
      <vt:variant>
        <vt:i4>5</vt:i4>
      </vt:variant>
      <vt:variant>
        <vt:lpwstr/>
      </vt:variant>
      <vt:variant>
        <vt:lpwstr>_Toc302482349</vt:lpwstr>
      </vt:variant>
      <vt:variant>
        <vt:i4>1376314</vt:i4>
      </vt:variant>
      <vt:variant>
        <vt:i4>26</vt:i4>
      </vt:variant>
      <vt:variant>
        <vt:i4>0</vt:i4>
      </vt:variant>
      <vt:variant>
        <vt:i4>5</vt:i4>
      </vt:variant>
      <vt:variant>
        <vt:lpwstr/>
      </vt:variant>
      <vt:variant>
        <vt:lpwstr>_Toc302482348</vt:lpwstr>
      </vt:variant>
      <vt:variant>
        <vt:i4>1376314</vt:i4>
      </vt:variant>
      <vt:variant>
        <vt:i4>23</vt:i4>
      </vt:variant>
      <vt:variant>
        <vt:i4>0</vt:i4>
      </vt:variant>
      <vt:variant>
        <vt:i4>5</vt:i4>
      </vt:variant>
      <vt:variant>
        <vt:lpwstr/>
      </vt:variant>
      <vt:variant>
        <vt:lpwstr>_Toc302482347</vt:lpwstr>
      </vt:variant>
      <vt:variant>
        <vt:i4>1376314</vt:i4>
      </vt:variant>
      <vt:variant>
        <vt:i4>20</vt:i4>
      </vt:variant>
      <vt:variant>
        <vt:i4>0</vt:i4>
      </vt:variant>
      <vt:variant>
        <vt:i4>5</vt:i4>
      </vt:variant>
      <vt:variant>
        <vt:lpwstr/>
      </vt:variant>
      <vt:variant>
        <vt:lpwstr>_Toc302482346</vt:lpwstr>
      </vt:variant>
      <vt:variant>
        <vt:i4>1376314</vt:i4>
      </vt:variant>
      <vt:variant>
        <vt:i4>17</vt:i4>
      </vt:variant>
      <vt:variant>
        <vt:i4>0</vt:i4>
      </vt:variant>
      <vt:variant>
        <vt:i4>5</vt:i4>
      </vt:variant>
      <vt:variant>
        <vt:lpwstr/>
      </vt:variant>
      <vt:variant>
        <vt:lpwstr>_Toc302482345</vt:lpwstr>
      </vt:variant>
      <vt:variant>
        <vt:i4>1376314</vt:i4>
      </vt:variant>
      <vt:variant>
        <vt:i4>14</vt:i4>
      </vt:variant>
      <vt:variant>
        <vt:i4>0</vt:i4>
      </vt:variant>
      <vt:variant>
        <vt:i4>5</vt:i4>
      </vt:variant>
      <vt:variant>
        <vt:lpwstr/>
      </vt:variant>
      <vt:variant>
        <vt:lpwstr>_Toc302482344</vt:lpwstr>
      </vt:variant>
      <vt:variant>
        <vt:i4>1376314</vt:i4>
      </vt:variant>
      <vt:variant>
        <vt:i4>11</vt:i4>
      </vt:variant>
      <vt:variant>
        <vt:i4>0</vt:i4>
      </vt:variant>
      <vt:variant>
        <vt:i4>5</vt:i4>
      </vt:variant>
      <vt:variant>
        <vt:lpwstr/>
      </vt:variant>
      <vt:variant>
        <vt:lpwstr>_Toc302482343</vt:lpwstr>
      </vt:variant>
      <vt:variant>
        <vt:i4>1376314</vt:i4>
      </vt:variant>
      <vt:variant>
        <vt:i4>8</vt:i4>
      </vt:variant>
      <vt:variant>
        <vt:i4>0</vt:i4>
      </vt:variant>
      <vt:variant>
        <vt:i4>5</vt:i4>
      </vt:variant>
      <vt:variant>
        <vt:lpwstr/>
      </vt:variant>
      <vt:variant>
        <vt:lpwstr>_Toc302482342</vt:lpwstr>
      </vt:variant>
      <vt:variant>
        <vt:i4>1376314</vt:i4>
      </vt:variant>
      <vt:variant>
        <vt:i4>5</vt:i4>
      </vt:variant>
      <vt:variant>
        <vt:i4>0</vt:i4>
      </vt:variant>
      <vt:variant>
        <vt:i4>5</vt:i4>
      </vt:variant>
      <vt:variant>
        <vt:lpwstr/>
      </vt:variant>
      <vt:variant>
        <vt:lpwstr>_Toc302482341</vt:lpwstr>
      </vt:variant>
      <vt:variant>
        <vt:i4>1376314</vt:i4>
      </vt:variant>
      <vt:variant>
        <vt:i4>2</vt:i4>
      </vt:variant>
      <vt:variant>
        <vt:i4>0</vt:i4>
      </vt:variant>
      <vt:variant>
        <vt:i4>5</vt:i4>
      </vt:variant>
      <vt:variant>
        <vt:lpwstr/>
      </vt:variant>
      <vt:variant>
        <vt:lpwstr>_Toc302482340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000 - General</dc:title>
  <dc:creator>xj204f6</dc:creator>
  <cp:lastModifiedBy>Masse, Tiphaine</cp:lastModifiedBy>
  <cp:revision>7</cp:revision>
  <cp:lastPrinted>2011-10-17T15:06:00Z</cp:lastPrinted>
  <dcterms:created xsi:type="dcterms:W3CDTF">2013-09-26T22:18:00Z</dcterms:created>
  <dcterms:modified xsi:type="dcterms:W3CDTF">2013-10-22T19:18:00Z</dcterms:modified>
</cp:coreProperties>
</file>