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w:t>
      </w:r>
    </w:p>
    <w:p>
      <w:pPr>
        <w:pStyle w:val="Normal"/>
        <w:rPr/>
      </w:pPr>
      <w:r>
        <w:rPr/>
        <w:t>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En fonction de la qualité des antennes on peut émettre entre 20 et 500 mètres. Le drone professionnel Inspire 2</w:t>
      </w:r>
      <w:r>
        <w:rPr>
          <w:rStyle w:val="Ancredenotedebasdepage"/>
        </w:rPr>
        <w:footnoteReference w:id="15"/>
      </w:r>
      <w:r>
        <w:rPr/>
        <w:t xml:space="preserve"> est un exemple de ce mode de transmission. C’est un mode de transmission privilégié pour les drones de cinéma car la caméra à son propre module de pilotage radio commandé.</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w:t>
      </w:r>
      <w:r>
        <w:rPr/>
        <w:t>User Datagram Protocol</w:t>
      </w:r>
      <w:r>
        <w:rPr/>
        <w:t>),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6"/>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 xml:space="preserve">Émission radio </w:t>
      </w:r>
      <w:r>
        <w:rPr/>
        <w:t>4G : </w:t>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Il s’agit encore d’une technologie qui finalise ses phases d’essai. On trouve plusieurs vols réalisés par des industriels de drones pilotés par le réseau téléphonique à titre expérimentale</w:t>
      </w:r>
      <w:r>
        <w:rPr>
          <w:rStyle w:val="Ancredenotedebasdepage"/>
        </w:rPr>
        <w:footnoteReference w:id="17"/>
      </w:r>
      <w:r>
        <w:rPr/>
        <w:t>. Les résultats semblent très concluants et laisse penser que cette fonctionnalité sera bientôt disponible sur l’ensemble des drones.</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18"/>
      </w:r>
      <w:r>
        <w:rPr/>
        <w:t>. La société Japonaise « Terra Drone », a quant à elle terminer le développement d’un système de drone entièrement basé sur la 4G</w:t>
      </w:r>
      <w:r>
        <w:rPr>
          <w:rStyle w:val="Ancredenotedebasdepage"/>
        </w:rPr>
        <w:footnoteReference w:id="19"/>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w:r>
      <w:r>
        <mc:AlternateContent>
          <mc:Choice Requires="wps">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762500" cy="2835910"/>
                <wp:effectExtent l="0" t="0" r="0" b="0"/>
                <wp:wrapSquare wrapText="largest"/>
                <wp:docPr id="15" name="Cadre5"/>
                <a:graphic xmlns:a="http://schemas.openxmlformats.org/drawingml/2006/main">
                  <a:graphicData uri="http://schemas.microsoft.com/office/word/2010/wordprocessingShape">
                    <wps:wsp>
                      <wps:cNvSpPr txBox="1"/>
                      <wps:spPr>
                        <a:xfrm>
                          <a:off x="0" y="0"/>
                          <a:ext cx="4762500" cy="2835910"/>
                        </a:xfrm>
                        <a:prstGeom prst="rect"/>
                      </wps:spPr>
                      <wps:txbx>
                        <w:txbxContent>
                          <w:p>
                            <w:pPr>
                              <w:pStyle w:val="Illustration"/>
                              <w:spacing w:before="120" w:after="120"/>
                              <w:jc w:val="center"/>
                              <w:rPr/>
                            </w:pPr>
                            <w:r>
                              <w:rPr/>
                              <w:drawing>
                                <wp:inline distT="0" distB="0" distL="0" distR="0">
                                  <wp:extent cx="4762500" cy="257683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wps:txbx>
                      <wps:bodyPr anchor="t" lIns="0" tIns="0" rIns="0" bIns="0">
                        <a:noAutofit/>
                      </wps:bodyPr>
                    </wps:wsp>
                  </a:graphicData>
                </a:graphic>
              </wp:anchor>
            </w:drawing>
          </mc:Choice>
          <mc:Fallback>
            <w:pict>
              <v:rect style="position:absolute;rotation:0;width:375pt;height:223.3pt;mso-wrap-distance-left:0pt;mso-wrap-distance-right:0pt;mso-wrap-distance-top:0pt;mso-wrap-distance-bottom:0pt;margin-top:0pt;mso-position-vertical:top;mso-position-vertical-relative:text;margin-left:39.25pt;mso-position-horizontal:center;mso-position-horizontal-relative:text">
                <v:textbox inset="0in,0in,0in,0in">
                  <w:txbxContent>
                    <w:p>
                      <w:pPr>
                        <w:pStyle w:val="Illustration"/>
                        <w:spacing w:before="120" w:after="120"/>
                        <w:jc w:val="center"/>
                        <w:rPr/>
                      </w:pPr>
                      <w:r>
                        <w:rPr/>
                        <w:drawing>
                          <wp:inline distT="0" distB="0" distL="0" distR="0">
                            <wp:extent cx="4762500" cy="257683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v:textbox>
                <w10:wrap type="square" side="largest"/>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Normal"/>
        <w:rPr/>
      </w:pPr>
      <w:r>
        <w:rPr/>
      </w:r>
    </w:p>
    <w:p>
      <w:pPr>
        <w:pStyle w:val="Normal"/>
        <w:rPr/>
      </w:pPr>
      <w:r>
        <w:rPr/>
        <w:t>On trouve dans la littérature, deux exemples de piratage de drone. Dans les deux cas, il s’agit de piratage ayant eu lieu sur des technologies grand public. Il n’est pas toujours évident de faire une distinction entre les fonctionnalités offertes par les drones professionnels et celles offertes par les drones grand public. Je dirais que la différence majeure vient du fait que les drones grand public sont basés sur des technologies libres ou bien facilement accessible,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documentation technique est confidentielle et parce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2"/>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Normal"/>
        <w:rPr/>
      </w:pPr>
      <w:r>
        <w:rPr/>
        <w:t>OS de drone / Ardupilot =&gt; trop répendu ? Monopole ?</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 w:id="15">
    <w:p>
      <w:pPr>
        <w:pStyle w:val="Notedebasdepage"/>
        <w:rPr/>
      </w:pPr>
      <w:r>
        <w:rPr/>
        <w:footnoteRef/>
        <w:tab/>
        <w:t>Inspire 2 : http://www.dji.com/inspire-2</w:t>
      </w:r>
    </w:p>
  </w:footnote>
  <w:footnote w:id="16">
    <w:p>
      <w:pPr>
        <w:pStyle w:val="Notedebasdepage"/>
        <w:rPr/>
      </w:pPr>
      <w:r>
        <w:rPr/>
        <w:footnoteRef/>
        <w:tab/>
        <w:t>Parrot Bebop 2: https://www.parrot.com/fr/Drones/Parrot-Bebop-2</w:t>
      </w:r>
    </w:p>
  </w:footnote>
  <w:footnote w:id="17">
    <w:p>
      <w:pPr>
        <w:pStyle w:val="Notedebasdepage"/>
        <w:rPr/>
      </w:pPr>
      <w:r>
        <w:rPr/>
        <w:footnoteRef/>
        <w:tab/>
        <w:t xml:space="preserve"> </w:t>
      </w:r>
      <w:r>
        <w:rPr/>
        <w:t xml:space="preserve">Expérimentations 4G: </w:t>
      </w:r>
    </w:p>
    <w:p>
      <w:pPr>
        <w:pStyle w:val="Notedebasdepage"/>
        <w:rPr/>
      </w:pPr>
      <w:hyperlink r:id="rId3">
        <w:r>
          <w:rPr>
            <w:rStyle w:val="LienInternetvisit"/>
          </w:rPr>
          <w:tab/>
          <w:t>https://www.les-drones.com/actualite-du-drone/piloter-un-drone-avec-un-simple-forfait-mobile-et-la-4g/</w:t>
        </w:r>
      </w:hyperlink>
    </w:p>
    <w:p>
      <w:pPr>
        <w:pStyle w:val="Notedebasdepage"/>
        <w:rPr/>
      </w:pPr>
      <w:hyperlink r:id="rId4" w:tgtFrame="_blank">
        <w:r>
          <w:rPr>
            <w:rStyle w:val="LienInternet"/>
          </w:rPr>
          <w:tab/>
          <w:t>https://www.qualcomm.com/media/documents/files/lte-unmanned-aircraft-systems-trial-report.pdf</w:t>
        </w:r>
      </w:hyperlink>
    </w:p>
  </w:footnote>
  <w:footnote w:id="18">
    <w:p>
      <w:pPr>
        <w:pStyle w:val="Notedebasdepage"/>
        <w:rPr/>
      </w:pPr>
      <w:r>
        <w:rPr/>
        <w:footnoteRef/>
        <w:tab/>
        <w:t xml:space="preserve">Delta Drone CIS: </w:t>
      </w:r>
      <w:hyperlink r:id="rId5">
        <w:r>
          <w:rPr>
            <w:rStyle w:val="LienInternet"/>
          </w:rPr>
          <w:t>http://www.deltadrone.com/fr/systemes/deltadrone-cloud-information-system/</w:t>
        </w:r>
      </w:hyperlink>
    </w:p>
  </w:footnote>
  <w:footnote w:id="19">
    <w:p>
      <w:pPr>
        <w:pStyle w:val="Notedebasdepage"/>
        <w:rPr/>
      </w:pPr>
      <w:r>
        <w:rPr/>
        <w:footnoteRef/>
        <w:tab/>
        <w:t xml:space="preserve">Terra Drone : </w:t>
      </w:r>
      <w:hyperlink r:id="rId6">
        <w:r>
          <w:rPr>
            <w:rStyle w:val="LienInternet"/>
          </w:rPr>
          <w:t>http://www.terra-drone.net/en/kddi-and-terra-drone-have-announced-completion-of-inventing-4g-lte-control-system/</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Relationship Id="rId3" Type="http://schemas.openxmlformats.org/officeDocument/2006/relationships/hyperlink" Target="https://www.les-drones.com/actualite-du-drone/piloter-un-drone-avec-un-simple-forfait-mobile-et-la-4g/" TargetMode="External"/><Relationship Id="rId4" Type="http://schemas.openxmlformats.org/officeDocument/2006/relationships/hyperlink" Target="https://www.qualcomm.com/media/documents/files/lte-unmanned-aircraft-systems-trial-report.pdf" TargetMode="External"/><Relationship Id="rId5" Type="http://schemas.openxmlformats.org/officeDocument/2006/relationships/hyperlink" Target="http://www.deltadrone.com/fr/systemes/deltadrone-cloud-information-system/" TargetMode="External"/><Relationship Id="rId6" Type="http://schemas.openxmlformats.org/officeDocument/2006/relationships/hyperlink" Target="http://www.terra-drone.net/en/kddi-and-terra-drone-have-announced-completion-of-inventing-4g-lte-control-system/"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14973</TotalTime>
  <Application>LibreOffice/5.1.6.2$Linux_X86_64 LibreOffice_project/10m0$Build-2</Application>
  <Pages>22</Pages>
  <Words>4389</Words>
  <Characters>25185</Characters>
  <CharactersWithSpaces>29418</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2017-05-16T21:15:19Z</dcterms:modified>
  <cp:revision>399</cp:revision>
  <dc:subject/>
  <dc:title>EXAMEN PROFESSIONNEL de VERIFICATION</dc:title>
</cp:coreProperties>
</file>