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Comme nous l’avons vu on peut isoler deux familles d’architecture dans la conception d’un drone. Une famille que j’appellerai « à architecture électronique » et l’autre que j’appellerai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 xml:space="preserve">Il existe toutefois des cartes de navigation sur lesquels est installé un programme d’auto-pilotage opensource nommé ArduPilot ou APM (Ardu Pilot Mega) que l’on peut mettre à jour. Bien que plus souples, ces systèmes n’offrent pas les fonctionnalités permises par une carte mère tournant sous Linux </w:t>
      </w:r>
    </w:p>
    <w:p>
      <w:pPr>
        <w:pStyle w:val="Normal"/>
        <w:rPr/>
      </w:pPr>
      <w:r>
        <w:rPr/>
      </w:r>
    </w:p>
    <w:p>
      <w:pPr>
        <w:pStyle w:val="Normal"/>
        <w:rPr/>
      </w:pPr>
      <w:r>
        <w:rPr/>
      </w:r>
      <w: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 xml:space="preserve">Dans cette architecture le drone peut être considéré comme un ordinateur volant. </w:t>
      </w:r>
      <w:r>
        <w:rPr/>
        <w:t>Il s’agit d’un système centralisé dont le cœur est une carte mère orchestrée par un système d’exploitation</w:t>
      </w:r>
      <w:r>
        <w:rPr>
          <w:rStyle w:val="Ancredenotedebasdepage"/>
        </w:rPr>
        <w:footnoteReference w:id="10"/>
      </w:r>
      <w:r>
        <w:rPr/>
        <w:t>. Tous les périphériques sont reliés à la carte mère qui s’occupent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1"/>
      </w:r>
      <w:r>
        <w:rPr/>
        <w:t>.</w:t>
      </w:r>
    </w:p>
    <w:p>
      <w:pPr>
        <w:pStyle w:val="Normal"/>
        <w:rPr/>
      </w:pPr>
      <w:bookmarkStart w:id="58" w:name="__RefHeading___Toc5271_15854298841"/>
      <w:bookmarkEnd w:id="58"/>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 ) et des images renvoyées par la caméra.</w:t>
      </w:r>
    </w:p>
    <w:p>
      <w:pPr>
        <w:pStyle w:val="Normal"/>
        <w:rPr/>
      </w:pPr>
      <w:r>
        <w:rPr/>
      </w: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Titre3"/>
        <w:numPr>
          <w:ilvl w:val="2"/>
          <w:numId w:val="2"/>
        </w:numPr>
        <w:rPr/>
      </w:pPr>
      <w:bookmarkStart w:id="59" w:name="__RefHeading___Toc1010_529703472"/>
      <w:bookmarkEnd w:id="59"/>
      <w:r>
        <w:rPr/>
        <w:t>La charge utile</w:t>
      </w:r>
    </w:p>
    <w:p>
      <w:pPr>
        <w:pStyle w:val="Normal"/>
        <w:rPr/>
      </w:pPr>
      <w:r>
        <w:rPr/>
      </w:r>
    </w:p>
    <w:p>
      <w:pPr>
        <w:pStyle w:val="Normal"/>
        <w:rPr/>
      </w:pPr>
      <w:r>
        <w:rPr/>
        <w:t>On appelle la charge utile du drone, tout les éléments qui ne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t>On peut trouver des charges utiles allant jusqu’à 6Kg dans les drones destinés à la prise de vue.</w:t>
      </w:r>
    </w:p>
    <w:p>
      <w:pPr>
        <w:pStyle w:val="Normal"/>
        <w:rPr/>
      </w:pPr>
      <w:r>
        <w:rPr/>
      </w:r>
    </w:p>
    <w:p>
      <w:pPr>
        <w:pStyle w:val="Titre3"/>
        <w:numPr>
          <w:ilvl w:val="2"/>
          <w:numId w:val="2"/>
        </w:numPr>
        <w:rPr/>
      </w:pPr>
      <w:bookmarkStart w:id="60" w:name="__RefHeading___Toc5271_1585429884"/>
      <w:bookmarkEnd w:id="60"/>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1" w:name="__RefHeading___Toc5273_1585429884"/>
      <w:bookmarkEnd w:id="61"/>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par les couches 2 à 6 du modèle OSI. Les messages de commande ou de télémétrie (couche application : niveau 7)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t>En fonction de la qualité des antennes on peut émettre entre 20 et 500 mètres. Je n’ai pas trouvé d’exemple d’utilisation de cette technologie sur les drones professionnels industriels.</w:t>
      </w:r>
    </w:p>
    <w:p>
      <w:pPr>
        <w:pStyle w:val="Titre4"/>
        <w:numPr>
          <w:ilvl w:val="0"/>
          <w:numId w:val="0"/>
        </w:numPr>
        <w:ind w:left="850" w:right="0" w:hanging="0"/>
        <w:rPr/>
      </w:pPr>
      <w:r>
        <w:rPr/>
      </w:r>
    </w:p>
    <w:p>
      <w:pPr>
        <w:pStyle w:val="Titre4"/>
        <w:numPr>
          <w:ilvl w:val="0"/>
          <w:numId w:val="0"/>
        </w:numPr>
        <w:ind w:left="850" w:right="0" w:hanging="0"/>
        <w:rPr/>
      </w:pPr>
      <w:bookmarkStart w:id="62" w:name="__RefHeading___Toc5275_1585429884"/>
      <w:bookmarkEnd w:id="62"/>
      <w:r>
        <w:rPr/>
        <w:t>Émission radio WIFI ou Bluetooth</w:t>
      </w:r>
      <w:r>
        <w:rPr/>
        <w:t>:</w:t>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 (couche liaison : niveau 2). </w:t>
      </w:r>
    </w:p>
    <w:p>
      <w:pPr>
        <w:pStyle w:val="Normal"/>
        <w:ind w:right="0" w:hanging="0"/>
        <w:rPr/>
      </w:pPr>
      <w:r>
        <w:rPr/>
        <w:t xml:space="preserve">Bien que ce soit aussi un signal radio que n’importe quel récepteur peux intercepter et qui est également soumis aux interférences avec d’autres émissions sur la même fréquence, ces protocoles identifient les participants et permettent de mettre en place un réseau ad hoc (Il n’y a pas de passerelles réseau, les noeuds communiquent entre eux directement) entre les différents participants. </w:t>
      </w:r>
    </w:p>
    <w:p>
      <w:pPr>
        <w:pStyle w:val="Normal"/>
        <w:ind w:right="0" w:hanging="0"/>
        <w:rPr/>
      </w:pPr>
      <w:r>
        <w:rPr/>
      </w:r>
    </w:p>
    <w:p>
      <w:pPr>
        <w:pStyle w:val="Normal"/>
        <w:ind w:right="0" w:hanging="0"/>
        <w:rPr/>
      </w:pPr>
      <w:r>
        <w:rPr/>
        <w:t>La création d’un réseau</w:t>
      </w:r>
    </w:p>
    <w:p>
      <w:pPr>
        <w:pStyle w:val="Titre4"/>
        <w:numPr>
          <w:ilvl w:val="0"/>
          <w:numId w:val="0"/>
        </w:numPr>
        <w:ind w:left="850" w:right="0" w:hanging="0"/>
        <w:rPr/>
      </w:pPr>
      <w:r>
        <w:rPr/>
      </w:r>
    </w:p>
    <w:p>
      <w:pPr>
        <w:pStyle w:val="Titre4"/>
        <w:numPr>
          <w:ilvl w:val="0"/>
          <w:numId w:val="0"/>
        </w:numPr>
        <w:ind w:left="850" w:right="0" w:hanging="0"/>
        <w:rPr/>
      </w:pPr>
      <w:bookmarkStart w:id="63" w:name="__RefHeading___Toc1087_529703472"/>
      <w:bookmarkEnd w:id="63"/>
      <w:r>
        <w:rPr/>
        <w:t xml:space="preserve">Émission radio </w:t>
      </w:r>
      <w:r>
        <w:rPr/>
        <w:t>4G :</w:t>
      </w:r>
    </w:p>
    <w:p>
      <w:pPr>
        <w:pStyle w:val="Normal"/>
        <w:rPr/>
      </w:pPr>
      <w:r>
        <w:rPr/>
      </w:r>
    </w:p>
    <w:p>
      <w:pPr>
        <w:pStyle w:val="Titre2"/>
        <w:numPr>
          <w:ilvl w:val="1"/>
          <w:numId w:val="3"/>
        </w:numPr>
        <w:rPr/>
      </w:pPr>
      <w:bookmarkStart w:id="64" w:name="__RefHeading___Toc5279_1585429884"/>
      <w:bookmarkEnd w:id="64"/>
      <w:r>
        <w:rPr/>
        <w:t>Les failles de sécurités</w:t>
      </w:r>
    </w:p>
    <w:p>
      <w:pPr>
        <w:pStyle w:val="Titre3"/>
        <w:numPr>
          <w:ilvl w:val="2"/>
          <w:numId w:val="2"/>
        </w:numPr>
        <w:rPr/>
      </w:pPr>
      <w:bookmarkStart w:id="65" w:name="__RefHeading___Toc5281_1585429884"/>
      <w:bookmarkEnd w:id="65"/>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6" w:name="__RefHeading___Toc5283_1585429884"/>
      <w:bookmarkEnd w:id="66"/>
      <w:r>
        <w:rPr/>
        <w:t>Les failles potentielles</w:t>
      </w:r>
    </w:p>
    <w:p>
      <w:pPr>
        <w:pStyle w:val="Titre3"/>
        <w:numPr>
          <w:ilvl w:val="2"/>
          <w:numId w:val="2"/>
        </w:numPr>
        <w:rPr/>
      </w:pPr>
      <w:bookmarkStart w:id="67" w:name="__RefHeading___Toc5296_1585429884"/>
      <w:bookmarkEnd w:id="67"/>
      <w:r>
        <w:rPr/>
        <w:t>Quels risques pour quels usages ?</w:t>
      </w:r>
    </w:p>
    <w:p>
      <w:pPr>
        <w:pStyle w:val="Normal"/>
        <w:rPr/>
      </w:pPr>
      <w:r>
        <w:rPr/>
      </w:r>
    </w:p>
    <w:p>
      <w:pPr>
        <w:pStyle w:val="Titre2"/>
        <w:numPr>
          <w:ilvl w:val="1"/>
          <w:numId w:val="3"/>
        </w:numPr>
        <w:rPr/>
      </w:pPr>
      <w:bookmarkStart w:id="68" w:name="__RefHeading___Toc5257_1585429884"/>
      <w:bookmarkEnd w:id="68"/>
      <w:r>
        <w:rPr/>
        <w:t>Analyses fonctionnelles et comparatives par type d’application</w:t>
      </w:r>
    </w:p>
    <w:p>
      <w:pPr>
        <w:pStyle w:val="Corpsdetexte"/>
        <w:numPr>
          <w:ilvl w:val="0"/>
          <w:numId w:val="0"/>
        </w:numPr>
        <w:ind w:left="850" w:hanging="0"/>
        <w:rPr/>
      </w:pPr>
      <w:bookmarkStart w:id="69" w:name="__RefHeading___Toc5259_1585429884"/>
      <w:bookmarkEnd w:id="69"/>
      <w:r>
        <w:rPr/>
        <w:t>Exploration</w:t>
      </w:r>
    </w:p>
    <w:p>
      <w:pPr>
        <w:pStyle w:val="Corpsdetexte"/>
        <w:numPr>
          <w:ilvl w:val="0"/>
          <w:numId w:val="0"/>
        </w:numPr>
        <w:ind w:left="850" w:hanging="0"/>
        <w:rPr/>
      </w:pPr>
      <w:bookmarkStart w:id="70" w:name="__RefHeading___Toc5261_1585429884"/>
      <w:bookmarkEnd w:id="70"/>
      <w:r>
        <w:rPr/>
        <w:t>Topologie – Topographie</w:t>
      </w:r>
    </w:p>
    <w:p>
      <w:pPr>
        <w:pStyle w:val="Corpsdetexte"/>
        <w:numPr>
          <w:ilvl w:val="0"/>
          <w:numId w:val="0"/>
        </w:numPr>
        <w:ind w:left="850" w:hanging="0"/>
        <w:rPr/>
      </w:pPr>
      <w:bookmarkStart w:id="71" w:name="__RefHeading___Toc5263_1585429884"/>
      <w:bookmarkEnd w:id="71"/>
      <w:r>
        <w:rPr/>
        <w:t>Levage et travail en milieu inaccessibles</w:t>
      </w:r>
    </w:p>
    <w:p>
      <w:pPr>
        <w:pStyle w:val="Normal"/>
        <w:rPr/>
      </w:pPr>
      <w:r>
        <w:rPr/>
      </w:r>
    </w:p>
    <w:p>
      <w:pPr>
        <w:pStyle w:val="Titre1"/>
        <w:keepNext/>
        <w:numPr>
          <w:ilvl w:val="0"/>
          <w:numId w:val="3"/>
        </w:numPr>
        <w:jc w:val="left"/>
        <w:outlineLvl w:val="0"/>
        <w:rPr/>
      </w:pPr>
      <w:bookmarkStart w:id="72" w:name="__RefHeading___Toc5298_1585429884"/>
      <w:bookmarkEnd w:id="72"/>
      <w:r>
        <w:rPr/>
        <w:t>Les drones de demain</w:t>
      </w:r>
    </w:p>
    <w:p>
      <w:pPr>
        <w:pStyle w:val="Titre2"/>
        <w:numPr>
          <w:ilvl w:val="1"/>
          <w:numId w:val="3"/>
        </w:numPr>
        <w:rPr/>
      </w:pPr>
      <w:bookmarkStart w:id="73" w:name="__RefHeading___Toc5300_1585429884"/>
      <w:bookmarkEnd w:id="73"/>
      <w:r>
        <w:rPr/>
        <w:t>Les technologies en développement</w:t>
      </w:r>
    </w:p>
    <w:p>
      <w:pPr>
        <w:pStyle w:val="Titre3"/>
        <w:numPr>
          <w:ilvl w:val="2"/>
          <w:numId w:val="3"/>
        </w:numPr>
        <w:rPr/>
      </w:pPr>
      <w:bookmarkStart w:id="74" w:name="__RefHeading___Toc5302_1585429884"/>
      <w:bookmarkEnd w:id="74"/>
      <w:r>
        <w:rPr/>
        <w:t>La 5G et l’IOT</w:t>
      </w:r>
    </w:p>
    <w:p>
      <w:pPr>
        <w:pStyle w:val="Titre3"/>
        <w:numPr>
          <w:ilvl w:val="2"/>
          <w:numId w:val="3"/>
        </w:numPr>
        <w:rPr/>
      </w:pPr>
      <w:bookmarkStart w:id="75" w:name="__RefHeading___Toc5304_1585429884"/>
      <w:bookmarkEnd w:id="75"/>
      <w:r>
        <w:rPr/>
        <w:t>L’intelligence artificielle</w:t>
      </w:r>
    </w:p>
    <w:p>
      <w:pPr>
        <w:pStyle w:val="Normal"/>
        <w:rPr/>
      </w:pPr>
      <w:r>
        <w:rPr/>
        <w:t>(Conférences TED)</w:t>
      </w:r>
    </w:p>
    <w:p>
      <w:pPr>
        <w:pStyle w:val="Titre3"/>
        <w:numPr>
          <w:ilvl w:val="2"/>
          <w:numId w:val="3"/>
        </w:numPr>
        <w:rPr/>
      </w:pPr>
      <w:bookmarkStart w:id="76" w:name="__RefHeading___Toc5306_1585429884"/>
      <w:bookmarkEnd w:id="76"/>
      <w:r>
        <w:rPr/>
        <w:t>Les essaims de drones</w:t>
      </w:r>
    </w:p>
    <w:p>
      <w:pPr>
        <w:pStyle w:val="Titre2"/>
        <w:numPr>
          <w:ilvl w:val="1"/>
          <w:numId w:val="3"/>
        </w:numPr>
        <w:rPr/>
      </w:pPr>
      <w:bookmarkStart w:id="77" w:name="__RefHeading___Toc5308_1585429884"/>
      <w:bookmarkEnd w:id="77"/>
      <w:r>
        <w:rPr/>
        <w:t>Des limites législatives</w:t>
      </w:r>
    </w:p>
    <w:p>
      <w:pPr>
        <w:pStyle w:val="Titre2"/>
        <w:numPr>
          <w:ilvl w:val="1"/>
          <w:numId w:val="3"/>
        </w:numPr>
        <w:rPr/>
      </w:pPr>
      <w:bookmarkStart w:id="78" w:name="__RefHeading___Toc5310_1585429884"/>
      <w:bookmarkEnd w:id="78"/>
      <w:r>
        <w:rPr/>
        <w:t>Les enjeux sociétaux</w:t>
      </w:r>
    </w:p>
    <w:p>
      <w:pPr>
        <w:pStyle w:val="Normal"/>
        <w:rPr/>
      </w:pPr>
      <w:r>
        <w:rPr/>
      </w:r>
      <w:r>
        <w:br w:type="page"/>
      </w:r>
    </w:p>
    <w:p>
      <w:pPr>
        <w:pStyle w:val="Titreprincipal"/>
        <w:rPr/>
      </w:pPr>
      <w:bookmarkStart w:id="79" w:name="__RefHeading___Toc4550_1585429884"/>
      <w:bookmarkEnd w:id="79"/>
      <w:r>
        <w:rPr/>
        <w:t>TABLE DES ANNEXES</w:t>
      </w:r>
    </w:p>
    <w:p>
      <w:pPr>
        <w:pStyle w:val="Normal"/>
        <w:rPr/>
      </w:pPr>
      <w:r>
        <w:rPr/>
      </w:r>
      <w:r>
        <w:br w:type="page"/>
      </w:r>
    </w:p>
    <w:p>
      <w:pPr>
        <w:pStyle w:val="Titreprincipal"/>
        <w:spacing w:before="240" w:after="120"/>
        <w:rPr/>
      </w:pPr>
      <w:bookmarkStart w:id="80" w:name="__RefHeading___Toc4552_1585429884"/>
      <w:bookmarkEnd w:id="80"/>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http://www.ardupilot.org/copter/docs/common-beagle-bone-blue.html</w:t>
      </w:r>
    </w:p>
  </w:footnote>
  <w:footnote w:id="11">
    <w:p>
      <w:pPr>
        <w:pStyle w:val="Notedebasdepage"/>
        <w:rPr/>
      </w:pPr>
      <w:r>
        <w:rPr/>
        <w:footnoteRef/>
        <w:tab/>
        <w:t>http://www.networkworld.com/article/2912381/wireless/linux-in-the-air-drone-systems-go-open-source.html#slide1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12696</TotalTime>
  <Application>LibreOffice/5.1.6.2$Linux_X86_64 LibreOffice_project/10m0$Build-2</Application>
  <Pages>21</Pages>
  <Words>3657</Words>
  <Characters>20557</Characters>
  <CharactersWithSpaces>24067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2017-05-15T07:17:38Z</dcterms:modified>
  <cp:revision>318</cp:revision>
  <dc:subject/>
  <dc:title>EXAMEN PROFESSIONNEL de VERIFICATION</dc:title>
</cp:coreProperties>
</file>