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i w:val="false"/>
          <w:iCs w:val="false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Diplôme d’ingénieur spé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cialité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CYC14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542_1585429884">
        <w:r>
          <w:rPr>
            <w:rStyle w:val="Sautdindex"/>
          </w:rPr>
          <w:t>REMERCIEMENTS</w:t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4_1585429884">
        <w:r>
          <w:rPr>
            <w:rStyle w:val="Sautdindex"/>
          </w:rPr>
          <w:t>SOMMAIRE</w:t>
          <w:tab/>
          <w:t>4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6_1585429884">
        <w:r>
          <w:rPr>
            <w:rStyle w:val="Sautdindex"/>
          </w:rPr>
          <w:t>RÉSUMÉ</w:t>
          <w:tab/>
          <w:t>5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8_1585429884">
        <w:r>
          <w:rPr>
            <w:rStyle w:val="Sautdindex"/>
          </w:rPr>
          <w:t>DRONES CIVILES A USAGE PROFESSIONNEL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38_1585429884">
        <w:r>
          <w:rPr>
            <w:rStyle w:val="Sautdindex"/>
          </w:rPr>
          <w:t>1.Drone : Définitions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autdindex"/>
          </w:rPr>
          <w:t>1.1.Définition académique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3_1585429884">
        <w:r>
          <w:rPr>
            <w:rStyle w:val="Sautdindex"/>
          </w:rPr>
          <w:t>1.2.Définition technologique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5_1585429884">
        <w:r>
          <w:rPr>
            <w:rStyle w:val="Sautdindex"/>
          </w:rPr>
          <w:t>1.3.Définition juridique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187_1585429884">
        <w:r>
          <w:rPr>
            <w:rStyle w:val="Sautdindex"/>
          </w:rPr>
          <w:t>2.La réglementation des drones à usages particuliers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9_1585429884">
        <w:r>
          <w:rPr>
            <w:rStyle w:val="Sautdindex"/>
          </w:rPr>
          <w:t>2.1.Les termes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1_1585429884">
        <w:r>
          <w:rPr>
            <w:rStyle w:val="Sautdindex"/>
          </w:rPr>
          <w:t>2.2.Cadre de la réglementation appliquée aux usages particuliers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3_1585429884">
        <w:r>
          <w:rPr>
            <w:rStyle w:val="Sautdindex"/>
          </w:rPr>
          <w:t>2.3.Les 4 scénarios opérationnels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5_1585429884">
        <w:r>
          <w:rPr>
            <w:rStyle w:val="Sautdindex"/>
          </w:rPr>
          <w:t>2.3.1.Introduction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7_1585429884">
        <w:r>
          <w:rPr>
            <w:rStyle w:val="Sautdindex"/>
          </w:rPr>
          <w:t>2.3.2.Scénario 1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9_1585429884">
        <w:r>
          <w:rPr>
            <w:rStyle w:val="Sautdindex"/>
          </w:rPr>
          <w:t>2.3.3.Scénario 1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1_1585429884">
        <w:r>
          <w:rPr>
            <w:rStyle w:val="Sautdindex"/>
          </w:rPr>
          <w:t>2.3.4.Scénario 2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3_1585429884">
        <w:r>
          <w:rPr>
            <w:rStyle w:val="Sautdindex"/>
          </w:rPr>
          <w:t>2.3.5.Scénario 3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5_1585429884">
        <w:r>
          <w:rPr>
            <w:rStyle w:val="Sautdindex"/>
          </w:rPr>
          <w:t>2.3.6.Scénario 4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7_1585429884">
        <w:r>
          <w:rPr>
            <w:rStyle w:val="Sautdindex"/>
          </w:rPr>
          <w:t>2.3.7.Obligations légales pour chaque scénario :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9_1585429884">
        <w:r>
          <w:rPr>
            <w:rStyle w:val="Sautdindex"/>
          </w:rPr>
          <w:t>2.3.8.Les démarches</w:t>
          <w:tab/>
          <w:t>6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11_1585429884">
        <w:r>
          <w:rPr>
            <w:rStyle w:val="Sautdindex"/>
          </w:rPr>
          <w:t>2.3.9.Conclusion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0_1585429884">
        <w:r>
          <w:rPr>
            <w:rStyle w:val="Sautdindex"/>
          </w:rPr>
          <w:t>TABLE DES ANNEXES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2_1585429884">
        <w:r>
          <w:rPr>
            <w:rStyle w:val="Sautdindex"/>
          </w:rPr>
          <w:t>TABLES DES MATIÈRES</w:t>
          <w:tab/>
          <w:t>8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</w:t>
      </w:r>
      <w:r>
        <w:rPr/>
        <w:t>r</w:t>
      </w:r>
      <w:r>
        <w:rPr/>
        <w:t>o</w:t>
      </w:r>
      <w:r>
        <w:rPr/>
        <w:t xml:space="preserve">ne : </w:t>
      </w:r>
      <w:r>
        <w:rPr/>
        <w:t>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 xml:space="preserve">Définition </w:t>
      </w:r>
      <w:r>
        <w:rPr/>
        <w:t>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</w:t>
      </w:r>
      <w:r>
        <w:rPr/>
        <w:t>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bookmarkStart w:id="6" w:name="__RefHeading___Toc5183_1585429884"/>
      <w:bookmarkEnd w:id="6"/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7" w:name="ref-1"/>
      <w:bookmarkEnd w:id="7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</w:t>
      </w:r>
      <w:r>
        <w:rPr/>
        <w:t>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_RefHeading___Toc5185_1585429884"/>
      <w:bookmarkEnd w:id="8"/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9" w:name="__RefHeading___Toc5187_1585429884"/>
      <w:bookmarkEnd w:id="9"/>
      <w:r>
        <w:rPr/>
        <w:t>L</w:t>
      </w:r>
      <w:r>
        <w:rPr/>
        <w:t>a réglementation des drones à usages particuliers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5189_1585429884"/>
      <w:bookmarkEnd w:id="10"/>
      <w:r>
        <w:rPr/>
        <w:t>Les termes</w:t>
      </w:r>
    </w:p>
    <w:p>
      <w:pPr>
        <w:pStyle w:val="Titre2"/>
        <w:numPr>
          <w:ilvl w:val="1"/>
          <w:numId w:val="2"/>
        </w:numPr>
        <w:rPr/>
      </w:pPr>
      <w:bookmarkStart w:id="11" w:name="__RefHeading___Toc5191_1585429884"/>
      <w:bookmarkEnd w:id="11"/>
      <w:r>
        <w:rPr/>
        <w:t>Cadre de la réglementation appliquée aux usages particul</w:t>
      </w:r>
      <w:r>
        <w:rPr/>
        <w:t>i</w:t>
      </w:r>
      <w:r>
        <w:rPr/>
        <w:t>ers</w:t>
      </w:r>
    </w:p>
    <w:p>
      <w:pPr>
        <w:pStyle w:val="Normal"/>
        <w:rPr/>
      </w:pPr>
      <w:r>
        <w:rPr/>
        <w:tab/>
      </w:r>
      <w:r>
        <w:rPr/>
        <w:t>Différences avec la réglementation appliquée à l’aéromodélisme ()</w:t>
      </w:r>
    </w:p>
    <w:p>
      <w:pPr>
        <w:pStyle w:val="Normal"/>
        <w:rPr/>
      </w:pPr>
      <w:r>
        <w:rPr/>
        <w:tab/>
      </w:r>
      <w:r>
        <w:rPr/>
        <w:t>Les 2 arrêtés Espace et Aéronefs</w:t>
      </w:r>
    </w:p>
    <w:p>
      <w:pPr>
        <w:pStyle w:val="Normal"/>
        <w:rPr/>
      </w:pPr>
      <w:r>
        <w:rPr/>
        <w:tab/>
      </w:r>
      <w:r>
        <w:rPr/>
        <w:t>Loi en cours (</w:t>
      </w:r>
      <w:hyperlink r:id="rId2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2" w:name="__RefHeading___Toc5193_1585429884"/>
      <w:bookmarkEnd w:id="12"/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Titre3"/>
        <w:numPr>
          <w:ilvl w:val="2"/>
          <w:numId w:val="2"/>
        </w:numPr>
        <w:rPr/>
      </w:pPr>
      <w:bookmarkStart w:id="13" w:name="__RefHeading___Toc5195_1585429884"/>
      <w:bookmarkEnd w:id="13"/>
      <w:r>
        <w:rPr/>
        <w:t>Introduction</w:t>
      </w:r>
    </w:p>
    <w:p>
      <w:pPr>
        <w:pStyle w:val="Titre3"/>
        <w:numPr>
          <w:ilvl w:val="2"/>
          <w:numId w:val="2"/>
        </w:numPr>
        <w:rPr/>
      </w:pPr>
      <w:bookmarkStart w:id="14" w:name="__RefHeading___Toc5197_1585429884"/>
      <w:bookmarkEnd w:id="14"/>
      <w:r>
        <w:rPr/>
        <w:t>Scénario 1</w:t>
      </w:r>
    </w:p>
    <w:p>
      <w:pPr>
        <w:pStyle w:val="Titre3"/>
        <w:numPr>
          <w:ilvl w:val="2"/>
          <w:numId w:val="2"/>
        </w:numPr>
        <w:rPr/>
      </w:pPr>
      <w:bookmarkStart w:id="15" w:name="__RefHeading___Toc5201_1585429884"/>
      <w:bookmarkEnd w:id="15"/>
      <w:r>
        <w:rPr/>
        <w:t>Scénario 2</w:t>
      </w:r>
    </w:p>
    <w:p>
      <w:pPr>
        <w:pStyle w:val="Titre3"/>
        <w:numPr>
          <w:ilvl w:val="2"/>
          <w:numId w:val="2"/>
        </w:numPr>
        <w:rPr/>
      </w:pPr>
      <w:bookmarkStart w:id="16" w:name="__RefHeading___Toc5203_1585429884"/>
      <w:bookmarkEnd w:id="16"/>
      <w:r>
        <w:rPr/>
        <w:t>Scénario 3</w:t>
      </w:r>
    </w:p>
    <w:p>
      <w:pPr>
        <w:pStyle w:val="Titre3"/>
        <w:numPr>
          <w:ilvl w:val="2"/>
          <w:numId w:val="2"/>
        </w:numPr>
        <w:rPr/>
      </w:pPr>
      <w:bookmarkStart w:id="17" w:name="__RefHeading___Toc5205_1585429884"/>
      <w:bookmarkEnd w:id="17"/>
      <w:r>
        <w:rPr/>
        <w:t>Scénario 4</w:t>
      </w:r>
    </w:p>
    <w:p>
      <w:pPr>
        <w:pStyle w:val="Titre3"/>
        <w:numPr>
          <w:ilvl w:val="2"/>
          <w:numId w:val="2"/>
        </w:numPr>
        <w:rPr/>
      </w:pPr>
      <w:bookmarkStart w:id="18" w:name="__RefHeading___Toc5207_1585429884"/>
      <w:bookmarkEnd w:id="18"/>
      <w:r>
        <w:rPr/>
        <w:t>Obligations légales pour chaque scénario :</w:t>
      </w:r>
    </w:p>
    <w:p>
      <w:pPr>
        <w:pStyle w:val="Titre3"/>
        <w:numPr>
          <w:ilvl w:val="2"/>
          <w:numId w:val="2"/>
        </w:numPr>
        <w:rPr/>
      </w:pPr>
      <w:bookmarkStart w:id="19" w:name="__RefHeading___Toc5209_1585429884"/>
      <w:bookmarkEnd w:id="19"/>
      <w:r>
        <w:rPr/>
        <w:t>Les démarches</w:t>
      </w:r>
    </w:p>
    <w:p>
      <w:pPr>
        <w:pStyle w:val="Titre3"/>
        <w:numPr>
          <w:ilvl w:val="2"/>
          <w:numId w:val="2"/>
        </w:numPr>
        <w:rPr/>
      </w:pPr>
      <w:bookmarkStart w:id="20" w:name="__RefHeading___Toc5211_1585429884"/>
      <w:bookmarkEnd w:id="20"/>
      <w:r>
        <w:rPr/>
        <w:t>Conclusion</w:t>
      </w:r>
      <w:r>
        <w:br w:type="page"/>
      </w:r>
    </w:p>
    <w:p>
      <w:pPr>
        <w:pStyle w:val="Titreprincipal"/>
        <w:rPr/>
      </w:pPr>
      <w:bookmarkStart w:id="21" w:name="__RefHeading___Toc4550_1585429884"/>
      <w:bookmarkEnd w:id="21"/>
      <w:r>
        <w:rPr/>
        <w:t>TABLE DES ANNEXES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22" w:name="__RefHeading___Toc4552_1585429884"/>
      <w:bookmarkEnd w:id="22"/>
      <w:r>
        <w:rPr/>
        <w:t xml:space="preserve">TABLES DES </w:t>
      </w:r>
      <w:r>
        <w:rPr/>
        <w:t>MATIÈRES</w:t>
      </w:r>
    </w:p>
    <w:sectPr>
      <w:headerReference w:type="default" r:id="rId3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0"/>
    <w:family w:val="swiss"/>
    <w:pitch w:val="variable"/>
  </w:font>
  <w:font w:name="Helvetica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  <w:t>http://www.larousse.fr</w:t>
      </w:r>
      <w:r>
        <w:fldChar w:fldCharType="end"/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  <w:t>https://fr.wiktionary.org</w:t>
      </w:r>
      <w:r>
        <w:fldChar w:fldCharType="end"/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Titre1">
    <w:name w:val="Heading 1"/>
    <w:basedOn w:val="Normal"/>
    <w:next w:val="Normal"/>
    <w:qFormat/>
    <w:pPr>
      <w:keepNext/>
      <w:numPr>
        <w:ilvl w:val="0"/>
        <w:numId w:val="2"/>
      </w:numPr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0"/>
        <w:numId w:val="2"/>
      </w:numPr>
      <w:pBdr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0"/>
        <w:numId w:val="2"/>
      </w:numPr>
      <w:suppressLineNumbers/>
      <w:tabs/>
      <w:jc w:val="left"/>
      <w:outlineLvl w:val="2"/>
    </w:pPr>
    <w:rPr>
      <w:rFonts w:ascii="Liberation Serif" w:hAnsi="Liberation Serif"/>
      <w:b/>
      <w:sz w:val="20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b/>
      <w:sz w:val="28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Numrotationdelignes">
    <w:name w:val="Numérotation de lignes"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next w:val="Corpsdetexte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next w:val="Corpsdetext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desmatiresniveau3">
    <w:name w:val="TOC 3"/>
    <w:basedOn w:val="Index"/>
    <w:pPr>
      <w:tabs>
        <w:tab w:val="right" w:pos="8504" w:leader="dot"/>
      </w:tabs>
      <w:ind w:left="566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  <w:style w:type="numbering" w:styleId="Numrotation3">
    <w:name w:val="Numérotation 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ederation-drone.org/communique-de-presse-la-fpdc-reagit-au-projet-de-loi-sur-les-drones/" TargetMode="External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Application>LibreOffice/5.1.6.2$Linux_X86_64 LibreOffice_project/10m0$Build-2</Application>
  <Pages>8</Pages>
  <Words>342</Words>
  <Characters>2201</Characters>
  <CharactersWithSpaces>2601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2017-05-06T15:41:30Z</dcterms:modified>
  <cp:revision>42</cp:revision>
  <dc:subject/>
  <dc:title>EXAMEN PROFESSIONNEL de VERIFICATION</dc:title>
</cp:coreProperties>
</file>