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5.png" ContentType="image/png"/>
  <Override PartName="/word/media/image14.jpeg" ContentType="image/jpeg"/>
  <Override PartName="/word/media/image13.jpeg" ContentType="image/jpeg"/>
  <Override PartName="/word/media/image12.png" ContentType="image/png"/>
  <Override PartName="/word/media/image11.jpeg" ContentType="image/jpeg"/>
  <Override PartName="/word/media/image4.png" ContentType="image/png"/>
  <Override PartName="/word/media/image3.jpeg" ContentType="image/jpeg"/>
  <Override PartName="/word/media/image2.jpeg" ContentType="image/jpeg"/>
  <Override PartName="/word/media/image1.png" ContentType="image/png"/>
  <Override PartName="/word/media/image5.png" ContentType="image/png"/>
  <Override PartName="/word/media/image9.jpeg" ContentType="image/jpeg"/>
  <Override PartName="/word/media/image6.png" ContentType="image/png"/>
  <Override PartName="/word/media/image7.jpeg" ContentType="image/jpeg"/>
  <Override PartName="/word/media/image8.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7</w:t>
        </w:r>
      </w:hyperlink>
    </w:p>
    <w:p>
      <w:pPr>
        <w:pStyle w:val="Tabledesmatiresniveau2"/>
        <w:tabs>
          <w:tab w:val="right" w:pos="9070" w:leader="dot"/>
        </w:tabs>
        <w:rPr/>
      </w:pPr>
      <w:hyperlink w:anchor="__RefHeading___Toc4540_1585429884">
        <w:r>
          <w:rPr>
            <w:rStyle w:val="Style"/>
          </w:rPr>
          <w:t>1.1.Définition académique</w:t>
          <w:tab/>
          <w:t>7</w:t>
        </w:r>
      </w:hyperlink>
    </w:p>
    <w:p>
      <w:pPr>
        <w:pStyle w:val="Tabledesmatiresniveau2"/>
        <w:tabs>
          <w:tab w:val="right" w:pos="9070" w:leader="dot"/>
        </w:tabs>
        <w:rPr/>
      </w:pPr>
      <w:hyperlink w:anchor="__RefHeading___Toc5183_1585429884">
        <w:r>
          <w:rPr>
            <w:rStyle w:val="Style"/>
          </w:rPr>
          <w:t>1.2.Définition technologique</w:t>
          <w:tab/>
          <w:t>7</w:t>
        </w:r>
      </w:hyperlink>
    </w:p>
    <w:p>
      <w:pPr>
        <w:pStyle w:val="Tabledesmatiresniveau2"/>
        <w:tabs>
          <w:tab w:val="right" w:pos="9070" w:leader="dot"/>
        </w:tabs>
        <w:rPr/>
      </w:pPr>
      <w:hyperlink w:anchor="__RefHeading___Toc5185_1585429884">
        <w:r>
          <w:rPr>
            <w:rStyle w:val="Style"/>
          </w:rPr>
          <w:t>1.3.Définition juridique</w:t>
          <w:tab/>
          <w:t>7</w:t>
        </w:r>
      </w:hyperlink>
    </w:p>
    <w:p>
      <w:pPr>
        <w:pStyle w:val="Tabledesmatiresniveau1"/>
        <w:tabs>
          <w:tab w:val="right" w:pos="9070" w:leader="dot"/>
        </w:tabs>
        <w:rPr/>
      </w:pPr>
      <w:hyperlink w:anchor="__RefHeading___Toc5187_1585429884">
        <w:r>
          <w:rPr>
            <w:rStyle w:val="Style"/>
          </w:rPr>
          <w:t>2.La réglementation des drones à usages particuliers</w:t>
          <w:tab/>
          <w:t>7</w:t>
        </w:r>
      </w:hyperlink>
    </w:p>
    <w:p>
      <w:pPr>
        <w:pStyle w:val="Tabledesmatiresniveau2"/>
        <w:tabs>
          <w:tab w:val="right" w:pos="9070" w:leader="dot"/>
        </w:tabs>
        <w:rPr/>
      </w:pPr>
      <w:hyperlink w:anchor="__RefHeading___Toc5191_1585429884">
        <w:r>
          <w:rPr>
            <w:rStyle w:val="Style"/>
          </w:rPr>
          <w:t>2.1.Cadre de la réglementation appliquée aux usages particuliers</w:t>
          <w:tab/>
          <w:t>7</w:t>
        </w:r>
      </w:hyperlink>
    </w:p>
    <w:p>
      <w:pPr>
        <w:pStyle w:val="Tabledesmatiresniveau2"/>
        <w:tabs>
          <w:tab w:val="right" w:pos="9070" w:leader="dot"/>
        </w:tabs>
        <w:rPr/>
      </w:pPr>
      <w:hyperlink w:anchor="__RefHeading___Toc5193_1585429884">
        <w:r>
          <w:rPr>
            <w:rStyle w:val="Style"/>
          </w:rPr>
          <w:t>2.2.Les 4 scénarios opérationnels</w:t>
          <w:tab/>
          <w:t>8</w:t>
        </w:r>
      </w:hyperlink>
    </w:p>
    <w:p>
      <w:pPr>
        <w:pStyle w:val="Tabledesmatiresniveau3"/>
        <w:tabs>
          <w:tab w:val="right" w:pos="9070" w:leader="dot"/>
        </w:tabs>
        <w:rPr/>
      </w:pPr>
      <w:hyperlink w:anchor="__RefHeading___Toc5195_1585429884">
        <w:r>
          <w:rPr>
            <w:rStyle w:val="Style"/>
          </w:rPr>
          <w:t>2.2.1.Introduction et règles générales</w:t>
          <w:tab/>
          <w:t>8</w:t>
        </w:r>
      </w:hyperlink>
    </w:p>
    <w:p>
      <w:pPr>
        <w:pStyle w:val="Tabledesmatiresniveau3"/>
        <w:tabs>
          <w:tab w:val="right" w:pos="9070" w:leader="dot"/>
        </w:tabs>
        <w:rPr/>
      </w:pPr>
      <w:hyperlink w:anchor="__RefHeading___Toc5197_1585429884">
        <w:r>
          <w:rPr>
            <w:rStyle w:val="Style"/>
          </w:rPr>
          <w:t>2.2.2.Scénario S1 – Opération à vue en zone non peuplée</w:t>
          <w:tab/>
          <w:t>11</w:t>
        </w:r>
      </w:hyperlink>
    </w:p>
    <w:p>
      <w:pPr>
        <w:pStyle w:val="Tabledesmatiresniveau3"/>
        <w:tabs>
          <w:tab w:val="right" w:pos="9070" w:leader="dot"/>
        </w:tabs>
        <w:rPr/>
      </w:pPr>
      <w:hyperlink w:anchor="__RefHeading___Toc5201_1585429884">
        <w:r>
          <w:rPr>
            <w:rStyle w:val="Style"/>
          </w:rPr>
          <w:t>2.2.3.Scénario S2 – Opération hors vue en zone non peuplée</w:t>
          <w:tab/>
          <w:t>11</w:t>
        </w:r>
      </w:hyperlink>
    </w:p>
    <w:p>
      <w:pPr>
        <w:pStyle w:val="Tabledesmatiresniveau3"/>
        <w:tabs>
          <w:tab w:val="right" w:pos="9070" w:leader="dot"/>
        </w:tabs>
        <w:rPr/>
      </w:pPr>
      <w:hyperlink w:anchor="__RefHeading___Toc5203_1585429884">
        <w:r>
          <w:rPr>
            <w:rStyle w:val="Style"/>
          </w:rPr>
          <w:t>2.2.4.Scénario S3 – Opération à vue en zone peuplée</w:t>
          <w:tab/>
          <w:t>11</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12</w:t>
        </w:r>
      </w:hyperlink>
    </w:p>
    <w:p>
      <w:pPr>
        <w:pStyle w:val="Tabledesmatiresniveau3"/>
        <w:tabs>
          <w:tab w:val="right" w:pos="9070" w:leader="dot"/>
        </w:tabs>
        <w:rPr/>
      </w:pPr>
      <w:hyperlink w:anchor="__RefHeading___Toc5207_1585429884">
        <w:r>
          <w:rPr>
            <w:rStyle w:val="Style"/>
          </w:rPr>
          <w:t>2.2.6.Résumé :</w:t>
          <w:tab/>
          <w:t>12</w:t>
        </w:r>
      </w:hyperlink>
    </w:p>
    <w:p>
      <w:pPr>
        <w:pStyle w:val="Tabledesmatiresniveau3"/>
        <w:tabs>
          <w:tab w:val="right" w:pos="9070" w:leader="dot"/>
        </w:tabs>
        <w:rPr/>
      </w:pPr>
      <w:hyperlink w:anchor="__RefHeading___Toc5211_1585429884">
        <w:r>
          <w:rPr>
            <w:rStyle w:val="Style"/>
          </w:rPr>
          <w:t>2.2.7.Autres obligations opérationnels:</w:t>
          <w:tab/>
          <w:t>13</w:t>
        </w:r>
      </w:hyperlink>
    </w:p>
    <w:p>
      <w:pPr>
        <w:pStyle w:val="Tabledesmatiresniveau3"/>
        <w:tabs>
          <w:tab w:val="right" w:pos="9070" w:leader="dot"/>
        </w:tabs>
        <w:rPr/>
      </w:pPr>
      <w:hyperlink w:anchor="__RefHeading___Toc5211_15854298841">
        <w:r>
          <w:rPr>
            <w:rStyle w:val="Style"/>
          </w:rPr>
          <w:t>2.2.8.Conclusion :</w:t>
          <w:tab/>
          <w:t>13</w:t>
        </w:r>
      </w:hyperlink>
    </w:p>
    <w:p>
      <w:pPr>
        <w:pStyle w:val="Tabledesmatiresniveau1"/>
        <w:tabs>
          <w:tab w:val="right" w:pos="9070" w:leader="dot"/>
        </w:tabs>
        <w:rPr/>
      </w:pPr>
      <w:hyperlink w:anchor="__RefHeading___Toc5214_1585429884">
        <w:r>
          <w:rPr>
            <w:rStyle w:val="Style"/>
          </w:rPr>
          <w:t>3.Evolution du marché en France et à l’international</w:t>
          <w:tab/>
          <w:t>15</w:t>
        </w:r>
      </w:hyperlink>
    </w:p>
    <w:p>
      <w:pPr>
        <w:pStyle w:val="Tabledesmatiresniveau3"/>
        <w:tabs>
          <w:tab w:val="right" w:pos="9070" w:leader="dot"/>
        </w:tabs>
        <w:rPr/>
      </w:pPr>
      <w:hyperlink w:anchor="__RefHeading___Toc5294_1585429884">
        <w:r>
          <w:rPr>
            <w:rStyle w:val="Style"/>
          </w:rPr>
          <w:t>3.1.1.Un démarrage en force</w:t>
          <w:tab/>
          <w:t>15</w:t>
        </w:r>
      </w:hyperlink>
    </w:p>
    <w:p>
      <w:pPr>
        <w:pStyle w:val="Tabledesmatiresniveau3"/>
        <w:tabs>
          <w:tab w:val="right" w:pos="9070" w:leader="dot"/>
        </w:tabs>
        <w:rPr/>
      </w:pPr>
      <w:hyperlink w:anchor="__RefHeading___Toc5267_1585429884">
        <w:r>
          <w:rPr>
            <w:rStyle w:val="Style"/>
          </w:rPr>
          <w:t>3.1.2.Evolution du marché</w:t>
          <w:tab/>
          <w:t>15</w:t>
        </w:r>
      </w:hyperlink>
    </w:p>
    <w:p>
      <w:pPr>
        <w:pStyle w:val="Tabledesmatiresniveau3"/>
        <w:tabs>
          <w:tab w:val="right" w:pos="9070" w:leader="dot"/>
        </w:tabs>
        <w:rPr/>
      </w:pPr>
      <w:hyperlink w:anchor="__RefHeading___Toc5234_1585429884">
        <w:r>
          <w:rPr>
            <w:rStyle w:val="Style"/>
          </w:rPr>
          <w:t>3.1.3.Un avenir dans la livraison aux particuliers ?</w:t>
          <w:tab/>
          <w:t>17</w:t>
        </w:r>
      </w:hyperlink>
    </w:p>
    <w:p>
      <w:pPr>
        <w:pStyle w:val="Tabledesmatiresniveau1"/>
        <w:tabs>
          <w:tab w:val="right" w:pos="9070" w:leader="dot"/>
        </w:tabs>
        <w:rPr/>
      </w:pPr>
      <w:hyperlink w:anchor="__RefHeading___Toc5216_1585429884">
        <w:r>
          <w:rPr>
            <w:rStyle w:val="Style"/>
          </w:rPr>
          <w:t>4.Les secteurs d’application actuels</w:t>
          <w:tab/>
          <w:t>18</w:t>
        </w:r>
      </w:hyperlink>
    </w:p>
    <w:p>
      <w:pPr>
        <w:pStyle w:val="Tabledesmatiresniveau2"/>
        <w:tabs>
          <w:tab w:val="right" w:pos="9070" w:leader="dot"/>
        </w:tabs>
        <w:rPr/>
      </w:pPr>
      <w:hyperlink w:anchor="__RefHeading___Toc5218_1585429884">
        <w:r>
          <w:rPr>
            <w:rStyle w:val="Style"/>
          </w:rPr>
          <w:t>4.1.Les 3 secteurs recensés par la FPDC :</w:t>
          <w:tab/>
          <w:t>18</w:t>
        </w:r>
      </w:hyperlink>
    </w:p>
    <w:p>
      <w:pPr>
        <w:pStyle w:val="Tabledesmatiresniveau3"/>
        <w:tabs>
          <w:tab w:val="right" w:pos="9070" w:leader="dot"/>
        </w:tabs>
        <w:rPr/>
      </w:pPr>
      <w:hyperlink w:anchor="__RefHeading___Toc5220_1585429884">
        <w:r>
          <w:rPr>
            <w:rStyle w:val="Style"/>
          </w:rPr>
          <w:t>4.1.1.Industrie</w:t>
          <w:tab/>
          <w:t>18</w:t>
        </w:r>
      </w:hyperlink>
    </w:p>
    <w:p>
      <w:pPr>
        <w:pStyle w:val="Tabledesmatiresniveau3"/>
        <w:tabs>
          <w:tab w:val="right" w:pos="9070" w:leader="dot"/>
        </w:tabs>
        <w:rPr/>
      </w:pPr>
      <w:hyperlink w:anchor="__RefHeading___Toc5222_1585429884">
        <w:r>
          <w:rPr>
            <w:rStyle w:val="Style"/>
          </w:rPr>
          <w:t>4.1.2.Agriculture</w:t>
          <w:tab/>
          <w:t>18</w:t>
        </w:r>
      </w:hyperlink>
    </w:p>
    <w:p>
      <w:pPr>
        <w:pStyle w:val="Tabledesmatiresniveau3"/>
        <w:tabs>
          <w:tab w:val="right" w:pos="9070" w:leader="dot"/>
        </w:tabs>
        <w:rPr/>
      </w:pPr>
      <w:hyperlink w:anchor="__RefHeading___Toc5224_1585429884">
        <w:r>
          <w:rPr>
            <w:rStyle w:val="Style"/>
          </w:rPr>
          <w:t>4.1.3.Audiovisuel</w:t>
          <w:tab/>
          <w:t>18</w:t>
        </w:r>
      </w:hyperlink>
    </w:p>
    <w:p>
      <w:pPr>
        <w:pStyle w:val="Tabledesmatiresniveau2"/>
        <w:tabs>
          <w:tab w:val="right" w:pos="9070" w:leader="dot"/>
        </w:tabs>
        <w:rPr/>
      </w:pPr>
      <w:hyperlink w:anchor="__RefHeading___Toc5226_1585429884">
        <w:r>
          <w:rPr>
            <w:rStyle w:val="Style"/>
          </w:rPr>
          <w:t>4.2.Autres exemples d’applications :</w:t>
          <w:tab/>
          <w:t>18</w:t>
        </w:r>
      </w:hyperlink>
    </w:p>
    <w:p>
      <w:pPr>
        <w:pStyle w:val="Tabledesmatiresniveau3"/>
        <w:tabs>
          <w:tab w:val="right" w:pos="9070" w:leader="dot"/>
        </w:tabs>
        <w:rPr/>
      </w:pPr>
      <w:hyperlink w:anchor="__RefHeading___Toc5228_1585429884">
        <w:r>
          <w:rPr>
            <w:rStyle w:val="Style"/>
          </w:rPr>
          <w:t>4.2.1.Secours</w:t>
          <w:tab/>
          <w:t>18</w:t>
        </w:r>
      </w:hyperlink>
    </w:p>
    <w:p>
      <w:pPr>
        <w:pStyle w:val="Tabledesmatiresniveau3"/>
        <w:tabs>
          <w:tab w:val="right" w:pos="9070" w:leader="dot"/>
        </w:tabs>
        <w:rPr/>
      </w:pPr>
      <w:hyperlink w:anchor="__RefHeading___Toc5237_1585429884">
        <w:r>
          <w:rPr>
            <w:rStyle w:val="Style"/>
          </w:rPr>
          <w:t>4.2.2.Surveillance</w:t>
          <w:tab/>
          <w:t>18</w:t>
        </w:r>
      </w:hyperlink>
    </w:p>
    <w:p>
      <w:pPr>
        <w:pStyle w:val="Tabledesmatiresniveau3"/>
        <w:tabs>
          <w:tab w:val="right" w:pos="9070" w:leader="dot"/>
        </w:tabs>
        <w:rPr/>
      </w:pPr>
      <w:hyperlink w:anchor="__RefHeading___Toc5285_1585429884">
        <w:r>
          <w:rPr>
            <w:rStyle w:val="Style"/>
          </w:rPr>
          <w:t>4.2.3.Sciences et environnement</w:t>
          <w:tab/>
          <w:t>18</w:t>
        </w:r>
      </w:hyperlink>
    </w:p>
    <w:p>
      <w:pPr>
        <w:pStyle w:val="Tabledesmatiresniveau3"/>
        <w:tabs>
          <w:tab w:val="right" w:pos="9070" w:leader="dot"/>
        </w:tabs>
        <w:rPr/>
      </w:pPr>
      <w:hyperlink w:anchor="__RefHeading___Toc5230_1585429884">
        <w:r>
          <w:rPr>
            <w:rStyle w:val="Style"/>
          </w:rPr>
          <w:t>4.2.4.Spectacles</w:t>
          <w:tab/>
          <w:t>18</w:t>
        </w:r>
      </w:hyperlink>
    </w:p>
    <w:p>
      <w:pPr>
        <w:pStyle w:val="Tabledesmatiresniveau1"/>
        <w:tabs>
          <w:tab w:val="right" w:pos="9070" w:leader="dot"/>
        </w:tabs>
        <w:rPr/>
      </w:pPr>
      <w:hyperlink w:anchor="__RefHeading___Toc5239_1585429884">
        <w:r>
          <w:rPr>
            <w:rStyle w:val="Style"/>
          </w:rPr>
          <w:t>5.La technologie des drones (Parler des batterie</w:t>
          <w:tab/>
          <w:t>18</w:t>
        </w:r>
      </w:hyperlink>
    </w:p>
    <w:p>
      <w:pPr>
        <w:pStyle w:val="Tabledesmatiresniveau2"/>
        <w:tabs>
          <w:tab w:val="right" w:pos="9070" w:leader="dot"/>
        </w:tabs>
        <w:rPr/>
      </w:pPr>
      <w:hyperlink w:anchor="__RefHeading___Toc5255_1585429884">
        <w:r>
          <w:rPr>
            <w:rStyle w:val="Style"/>
          </w:rPr>
          <w:t>5.1.La notion de « système de drone »</w:t>
          <w:tab/>
          <w:t>18</w:t>
        </w:r>
      </w:hyperlink>
    </w:p>
    <w:p>
      <w:pPr>
        <w:pStyle w:val="Tabledesmatiresniveau3"/>
        <w:tabs>
          <w:tab w:val="right" w:pos="9070" w:leader="dot"/>
        </w:tabs>
        <w:rPr/>
      </w:pPr>
      <w:hyperlink w:anchor="__RefHeading___Toc5287_1585429884">
        <w:r>
          <w:rPr>
            <w:rStyle w:val="Style"/>
          </w:rPr>
          <w:t>5.1.1.Les stations au sol</w:t>
          <w:tab/>
          <w:t>19</w:t>
        </w:r>
      </w:hyperlink>
    </w:p>
    <w:p>
      <w:pPr>
        <w:pStyle w:val="Tabledesmatiresniveau4"/>
        <w:tabs>
          <w:tab w:val="right" w:pos="9070" w:leader="dot"/>
        </w:tabs>
        <w:rPr/>
      </w:pPr>
      <w:hyperlink w:anchor="__RefHeading___Toc990_529703472">
        <w:r>
          <w:rPr>
            <w:rStyle w:val="Style"/>
          </w:rPr>
          <w:t>La réception des données de navigation :</w:t>
          <w:tab/>
          <w:t>19</w:t>
        </w:r>
      </w:hyperlink>
    </w:p>
    <w:p>
      <w:pPr>
        <w:pStyle w:val="Tabledesmatiresniveau4"/>
        <w:tabs>
          <w:tab w:val="right" w:pos="9070" w:leader="dot"/>
        </w:tabs>
        <w:rPr/>
      </w:pPr>
      <w:hyperlink w:anchor="__RefHeading___Toc992_529703472">
        <w:r>
          <w:rPr>
            <w:rStyle w:val="Style"/>
          </w:rPr>
          <w:t>La réception des données de mesures</w:t>
          <w:tab/>
          <w:t>20</w:t>
        </w:r>
      </w:hyperlink>
    </w:p>
    <w:p>
      <w:pPr>
        <w:pStyle w:val="Tabledesmatiresniveau4"/>
        <w:tabs>
          <w:tab w:val="right" w:pos="9070" w:leader="dot"/>
        </w:tabs>
        <w:rPr/>
      </w:pPr>
      <w:hyperlink w:anchor="__RefHeading___Toc994_529703472">
        <w:r>
          <w:rPr>
            <w:rStyle w:val="Style"/>
          </w:rPr>
          <w:t>Conclusion</w:t>
          <w:tab/>
          <w:t>20</w:t>
        </w:r>
      </w:hyperlink>
    </w:p>
    <w:p>
      <w:pPr>
        <w:pStyle w:val="Tabledesmatiresniveau3"/>
        <w:tabs>
          <w:tab w:val="right" w:pos="9070" w:leader="dot"/>
        </w:tabs>
        <w:rPr/>
      </w:pPr>
      <w:hyperlink w:anchor="__RefHeading___Toc5269_1585429884">
        <w:r>
          <w:rPr>
            <w:rStyle w:val="Style"/>
          </w:rPr>
          <w:t>5.1.2.Les systèmes embarqués</w:t>
          <w:tab/>
          <w:t>21</w:t>
        </w:r>
      </w:hyperlink>
    </w:p>
    <w:p>
      <w:pPr>
        <w:pStyle w:val="Tabledesmatiresniveau4"/>
        <w:tabs>
          <w:tab w:val="right" w:pos="9070" w:leader="dot"/>
        </w:tabs>
        <w:rPr/>
      </w:pPr>
      <w:hyperlink w:anchor="__RefHeading___Toc996_529703472">
        <w:r>
          <w:rPr>
            <w:rStyle w:val="Style"/>
          </w:rPr>
          <w:t>Une carte de navigation :</w:t>
          <w:tab/>
          <w:t>22</w:t>
        </w:r>
      </w:hyperlink>
    </w:p>
    <w:p>
      <w:pPr>
        <w:pStyle w:val="Tabledesmatiresniveau4"/>
        <w:tabs>
          <w:tab w:val="right" w:pos="9070" w:leader="dot"/>
        </w:tabs>
        <w:rPr/>
      </w:pPr>
      <w:hyperlink w:anchor="__RefHeading___Toc998_529703472">
        <w:r>
          <w:rPr>
            <w:rStyle w:val="Style"/>
          </w:rPr>
          <w:t>Un GPS :</w:t>
          <w:tab/>
          <w:t>22</w:t>
        </w:r>
      </w:hyperlink>
    </w:p>
    <w:p>
      <w:pPr>
        <w:pStyle w:val="Tabledesmatiresniveau4"/>
        <w:tabs>
          <w:tab w:val="right" w:pos="9070" w:leader="dot"/>
        </w:tabs>
        <w:rPr/>
      </w:pPr>
      <w:hyperlink w:anchor="__RefHeading___Toc1000_529703472">
        <w:r>
          <w:rPr>
            <w:rStyle w:val="Style"/>
          </w:rPr>
          <w:t>Une caméra :</w:t>
          <w:tab/>
          <w:t>22</w:t>
        </w:r>
      </w:hyperlink>
    </w:p>
    <w:p>
      <w:pPr>
        <w:pStyle w:val="Tabledesmatiresniveau4"/>
        <w:tabs>
          <w:tab w:val="right" w:pos="9070" w:leader="dot"/>
        </w:tabs>
        <w:rPr/>
      </w:pPr>
      <w:hyperlink w:anchor="__RefHeading___Toc1004_529703472">
        <w:r>
          <w:rPr>
            <w:rStyle w:val="Style"/>
          </w:rPr>
          <w:t>Des modules de transmission réception:</w:t>
          <w:tab/>
          <w:t>23</w:t>
        </w:r>
      </w:hyperlink>
    </w:p>
    <w:p>
      <w:pPr>
        <w:pStyle w:val="Tabledesmatiresniveau4"/>
        <w:tabs>
          <w:tab w:val="right" w:pos="9070" w:leader="dot"/>
        </w:tabs>
        <w:rPr/>
      </w:pPr>
      <w:hyperlink w:anchor="__RefHeading___Toc1006_529703472">
        <w:r>
          <w:rPr>
            <w:rStyle w:val="Style"/>
          </w:rPr>
          <w:t>Des capteurs de mesure</w:t>
          <w:tab/>
          <w:t>24</w:t>
        </w:r>
      </w:hyperlink>
    </w:p>
    <w:p>
      <w:pPr>
        <w:pStyle w:val="Tabledesmatiresniveau4"/>
        <w:tabs>
          <w:tab w:val="right" w:pos="9070" w:leader="dot"/>
        </w:tabs>
        <w:rPr/>
      </w:pPr>
      <w:hyperlink w:anchor="__RefHeading___Toc1663_1832666234">
        <w:r>
          <w:rPr>
            <w:rStyle w:val="Style"/>
          </w:rPr>
          <w:t>Les moteurs</w:t>
          <w:tab/>
          <w:t>24</w:t>
        </w:r>
      </w:hyperlink>
    </w:p>
    <w:p>
      <w:pPr>
        <w:pStyle w:val="Tabledesmatiresniveau4"/>
        <w:tabs>
          <w:tab w:val="right" w:pos="9070" w:leader="dot"/>
        </w:tabs>
        <w:rPr/>
      </w:pPr>
      <w:hyperlink w:anchor="__RefHeading___Toc1008_529703472">
        <w:r>
          <w:rPr>
            <w:rStyle w:val="Style"/>
          </w:rPr>
          <w:t>Les architectures des systèmes embarqués</w:t>
          <w:tab/>
          <w:t>24</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27</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communications</w:t>
          <w:tab/>
          <w:t>27</w:t>
        </w:r>
      </w:hyperlink>
    </w:p>
    <w:p>
      <w:pPr>
        <w:pStyle w:val="Tabledesmatiresniveau4"/>
        <w:tabs>
          <w:tab w:val="right" w:pos="9070" w:leader="dot"/>
        </w:tabs>
        <w:rPr/>
      </w:pPr>
      <w:hyperlink w:anchor="__RefHeading___Toc5273_1585429884">
        <w:r>
          <w:rPr>
            <w:rStyle w:val="Style"/>
          </w:rPr>
          <w:t>Émission radio directe:</w:t>
          <w:tab/>
          <w:t>27</w:t>
        </w:r>
      </w:hyperlink>
    </w:p>
    <w:p>
      <w:pPr>
        <w:pStyle w:val="Tabledesmatiresniveau4"/>
        <w:tabs>
          <w:tab w:val="right" w:pos="9070" w:leader="dot"/>
        </w:tabs>
        <w:rPr/>
      </w:pPr>
      <w:hyperlink w:anchor="__RefHeading___Toc5275_1585429884">
        <w:r>
          <w:rPr>
            <w:rStyle w:val="Style"/>
          </w:rPr>
          <w:t>Émission radio WIFI:</w:t>
          <w:tab/>
          <w:t>28</w:t>
        </w:r>
      </w:hyperlink>
    </w:p>
    <w:p>
      <w:pPr>
        <w:pStyle w:val="Tabledesmatiresniveau4"/>
        <w:tabs>
          <w:tab w:val="right" w:pos="9070" w:leader="dot"/>
        </w:tabs>
        <w:rPr/>
      </w:pPr>
      <w:hyperlink w:anchor="__RefHeading___Toc1087_529703472">
        <w:r>
          <w:rPr>
            <w:rStyle w:val="Style"/>
          </w:rPr>
          <w:t>Émission radio 4G:</w:t>
          <w:tab/>
          <w:t>29</w:t>
        </w:r>
      </w:hyperlink>
    </w:p>
    <w:p>
      <w:pPr>
        <w:pStyle w:val="Tabledesmatiresniveau4"/>
        <w:tabs>
          <w:tab w:val="right" w:pos="9070" w:leader="dot"/>
        </w:tabs>
        <w:rPr/>
      </w:pPr>
      <w:hyperlink w:anchor="__RefHeading___Toc1512_545113008">
        <w:r>
          <w:rPr>
            <w:rStyle w:val="Style"/>
          </w:rPr>
          <w:t>Positionnement par satellite</w:t>
          <w:tab/>
          <w:t>30</w:t>
        </w:r>
      </w:hyperlink>
    </w:p>
    <w:p>
      <w:pPr>
        <w:pStyle w:val="Tabledesmatiresniveau2"/>
        <w:tabs>
          <w:tab w:val="right" w:pos="9070" w:leader="dot"/>
        </w:tabs>
        <w:rPr/>
      </w:pPr>
      <w:hyperlink w:anchor="__RefHeading___Toc5279_1585429884">
        <w:r>
          <w:rPr>
            <w:rStyle w:val="Style"/>
          </w:rPr>
          <w:t>5.2.Les failles de sécurités</w:t>
          <w:tab/>
          <w:t>30</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31</w:t>
        </w:r>
      </w:hyperlink>
    </w:p>
    <w:p>
      <w:pPr>
        <w:pStyle w:val="Tabledesmatiresniveau4"/>
        <w:tabs>
          <w:tab w:val="right" w:pos="9070" w:leader="dot"/>
        </w:tabs>
        <w:rPr/>
      </w:pPr>
      <w:hyperlink w:anchor="__RefHeading___Toc1673_1832666234">
        <w:r>
          <w:rPr>
            <w:rStyle w:val="Style"/>
          </w:rPr>
          <w:t>Icarus</w:t>
          <w:tab/>
          <w:t>31</w:t>
        </w:r>
      </w:hyperlink>
    </w:p>
    <w:p>
      <w:pPr>
        <w:pStyle w:val="Tabledesmatiresniveau4"/>
        <w:tabs>
          <w:tab w:val="right" w:pos="9070" w:leader="dot"/>
        </w:tabs>
        <w:rPr/>
      </w:pPr>
      <w:hyperlink w:anchor="__RefHeading___Toc1675_1832666234">
        <w:r>
          <w:rPr>
            <w:rStyle w:val="Style"/>
          </w:rPr>
          <w:t>Attaque sur l’AR Drone de Parrot</w:t>
          <w:tab/>
          <w:t>31</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31</w:t>
        </w:r>
      </w:hyperlink>
    </w:p>
    <w:p>
      <w:pPr>
        <w:pStyle w:val="Tabledesmatiresniveau2"/>
        <w:tabs>
          <w:tab w:val="right" w:pos="9070" w:leader="dot"/>
        </w:tabs>
        <w:rPr/>
      </w:pPr>
      <w:hyperlink w:anchor="__RefHeading___Toc5257_1585429884">
        <w:r>
          <w:rPr>
            <w:rStyle w:val="Style"/>
          </w:rPr>
          <w:t>5.3.Les types de drones et leur usage</w:t>
          <w:tab/>
          <w:t>32</w:t>
        </w:r>
      </w:hyperlink>
    </w:p>
    <w:p>
      <w:pPr>
        <w:pStyle w:val="Tabledesmatiresniveau3"/>
        <w:tabs>
          <w:tab w:val="right" w:pos="9070" w:leader="dot"/>
        </w:tabs>
        <w:rPr/>
      </w:pPr>
      <w:hyperlink w:anchor="__RefHeading___Toc1514_545113008">
        <w:r>
          <w:rPr>
            <w:rStyle w:val="Style"/>
          </w:rPr>
          <w:t>5.3.1.Les drones à voilures fixes pour les scénarios S2 et S4</w:t>
          <w:tab/>
          <w:t>33</w:t>
        </w:r>
      </w:hyperlink>
    </w:p>
    <w:p>
      <w:pPr>
        <w:pStyle w:val="Tabledesmatiresniveau4"/>
        <w:tabs>
          <w:tab w:val="right" w:pos="9070" w:leader="dot"/>
        </w:tabs>
        <w:rPr/>
      </w:pPr>
      <w:hyperlink w:anchor="__RefHeading___Toc1516_545113008">
        <w:r>
          <w:rPr>
            <w:rStyle w:val="Style"/>
          </w:rPr>
          <w:t>Caractéristiques</w:t>
          <w:tab/>
          <w:t>33</w:t>
        </w:r>
      </w:hyperlink>
    </w:p>
    <w:p>
      <w:pPr>
        <w:pStyle w:val="Tabledesmatiresniveau4"/>
        <w:tabs>
          <w:tab w:val="right" w:pos="9070" w:leader="dot"/>
        </w:tabs>
        <w:rPr/>
      </w:pPr>
      <w:hyperlink w:anchor="__RefHeading___Toc1518_545113008">
        <w:r>
          <w:rPr>
            <w:rStyle w:val="Style"/>
          </w:rPr>
          <w:t>Cadre d’utilisation</w:t>
          <w:tab/>
          <w:t>34</w:t>
        </w:r>
      </w:hyperlink>
    </w:p>
    <w:p>
      <w:pPr>
        <w:pStyle w:val="Tabledesmatiresniveau3"/>
        <w:tabs>
          <w:tab w:val="right" w:pos="9070" w:leader="dot"/>
        </w:tabs>
        <w:rPr/>
      </w:pPr>
      <w:hyperlink w:anchor="__RefHeading___Toc1520_545113008">
        <w:r>
          <w:rPr>
            <w:rStyle w:val="Style"/>
          </w:rPr>
          <w:t>5.3.2.Les drones à voilures tournantes pour les scénarios S1 à S3</w:t>
          <w:tab/>
          <w:t>34</w:t>
        </w:r>
      </w:hyperlink>
    </w:p>
    <w:p>
      <w:pPr>
        <w:pStyle w:val="Tabledesmatiresniveau4"/>
        <w:tabs>
          <w:tab w:val="right" w:pos="9070" w:leader="dot"/>
        </w:tabs>
        <w:rPr/>
      </w:pPr>
      <w:hyperlink w:anchor="__RefHeading___Toc1522_545113008">
        <w:r>
          <w:rPr>
            <w:rStyle w:val="Style"/>
          </w:rPr>
          <w:t>Les multirotors porteurs</w:t>
          <w:tab/>
          <w:t>34</w:t>
        </w:r>
      </w:hyperlink>
    </w:p>
    <w:p>
      <w:pPr>
        <w:pStyle w:val="Tabledesmatiresniveau4"/>
        <w:tabs>
          <w:tab w:val="right" w:pos="9070" w:leader="dot"/>
        </w:tabs>
        <w:rPr/>
      </w:pPr>
      <w:hyperlink w:anchor="__RefHeading___Toc1524_545113008">
        <w:r>
          <w:rPr>
            <w:rStyle w:val="Style"/>
          </w:rPr>
          <w:t>Les multirotors simples</w:t>
          <w:tab/>
          <w:t>35</w:t>
        </w:r>
      </w:hyperlink>
    </w:p>
    <w:p>
      <w:pPr>
        <w:pStyle w:val="Tabledesmatiresniveau3"/>
        <w:tabs>
          <w:tab w:val="right" w:pos="9070" w:leader="dot"/>
        </w:tabs>
        <w:rPr/>
      </w:pPr>
      <w:hyperlink w:anchor="__RefHeading___Toc1526_545113008">
        <w:r>
          <w:rPr>
            <w:rStyle w:val="Style"/>
          </w:rPr>
          <w:t>5.3.3.Analyse comparative des différents type de drones :</w:t>
          <w:tab/>
          <w:t>36</w:t>
        </w:r>
      </w:hyperlink>
    </w:p>
    <w:p>
      <w:pPr>
        <w:pStyle w:val="Tabledesmatiresniveau1"/>
        <w:tabs>
          <w:tab w:val="right" w:pos="9070" w:leader="dot"/>
        </w:tabs>
        <w:rPr/>
      </w:pPr>
      <w:hyperlink w:anchor="__RefHeading___Toc5298_1585429884">
        <w:r>
          <w:rPr>
            <w:rStyle w:val="Style"/>
          </w:rPr>
          <w:t>6.Les drones de demain</w:t>
          <w:tab/>
          <w:t>36</w:t>
        </w:r>
      </w:hyperlink>
    </w:p>
    <w:p>
      <w:pPr>
        <w:pStyle w:val="Tabledesmatiresniveau2"/>
        <w:tabs>
          <w:tab w:val="right" w:pos="9070" w:leader="dot"/>
        </w:tabs>
        <w:rPr/>
      </w:pPr>
      <w:hyperlink w:anchor="__RefHeading___Toc5300_1585429884">
        <w:r>
          <w:rPr>
            <w:rStyle w:val="Style"/>
          </w:rPr>
          <w:t>6.1.Les technologies en développement</w:t>
          <w:tab/>
          <w:t>36</w:t>
        </w:r>
      </w:hyperlink>
    </w:p>
    <w:p>
      <w:pPr>
        <w:pStyle w:val="Tabledesmatiresniveau3"/>
        <w:tabs>
          <w:tab w:val="right" w:pos="9070" w:leader="dot"/>
        </w:tabs>
        <w:rPr/>
      </w:pPr>
      <w:hyperlink w:anchor="__RefHeading___Toc5302_1585429884">
        <w:r>
          <w:rPr>
            <w:rStyle w:val="Style"/>
          </w:rPr>
          <w:t>6.1.1.La 5G et l’IOT</w:t>
          <w:tab/>
          <w:t>36</w:t>
        </w:r>
      </w:hyperlink>
    </w:p>
    <w:p>
      <w:pPr>
        <w:pStyle w:val="Tabledesmatiresniveau3"/>
        <w:tabs>
          <w:tab w:val="right" w:pos="9070" w:leader="dot"/>
        </w:tabs>
        <w:rPr/>
      </w:pPr>
      <w:hyperlink w:anchor="__RefHeading___Toc5304_1585429884">
        <w:r>
          <w:rPr>
            <w:rStyle w:val="Style"/>
          </w:rPr>
          <w:t>6.1.2.L’intelligence artificielle</w:t>
          <w:tab/>
          <w:t>36</w:t>
        </w:r>
      </w:hyperlink>
    </w:p>
    <w:p>
      <w:pPr>
        <w:pStyle w:val="Tabledesmatiresniveau3"/>
        <w:tabs>
          <w:tab w:val="right" w:pos="9070" w:leader="dot"/>
        </w:tabs>
        <w:rPr/>
      </w:pPr>
      <w:hyperlink w:anchor="__RefHeading___Toc5306_1585429884">
        <w:r>
          <w:rPr>
            <w:rStyle w:val="Style"/>
          </w:rPr>
          <w:t>6.1.3.Les essaims de drones</w:t>
          <w:tab/>
          <w:t>36</w:t>
        </w:r>
      </w:hyperlink>
    </w:p>
    <w:p>
      <w:pPr>
        <w:pStyle w:val="Tabledesmatiresniveau2"/>
        <w:tabs>
          <w:tab w:val="right" w:pos="9070" w:leader="dot"/>
        </w:tabs>
        <w:rPr/>
      </w:pPr>
      <w:hyperlink w:anchor="__RefHeading___Toc5308_1585429884">
        <w:r>
          <w:rPr>
            <w:rStyle w:val="Style"/>
          </w:rPr>
          <w:t>6.2.Des limites législatives</w:t>
          <w:tab/>
          <w:t>36</w:t>
        </w:r>
      </w:hyperlink>
    </w:p>
    <w:p>
      <w:pPr>
        <w:pStyle w:val="Tabledesmatiresniveau2"/>
        <w:tabs>
          <w:tab w:val="right" w:pos="9070" w:leader="dot"/>
        </w:tabs>
        <w:rPr/>
      </w:pPr>
      <w:hyperlink w:anchor="__RefHeading___Toc5310_1585429884">
        <w:r>
          <w:rPr>
            <w:rStyle w:val="Style"/>
          </w:rPr>
          <w:t>6.3.Les enjeux sociétaux</w:t>
          <w:tab/>
          <w:t>36</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civile a été rapide, mais comme souvent en matière de technologie, la conception d’un arsenal législative et juridique est beaucoup plus lente que l’évolution de la technologie concernée. Certain pays, comme la Suède, proscrivent totalement l’usage des drones sur leur territoire. Il est difficile de dire si il s’agit d’un choix purement politique ou si l’effort législatif nécessaire joue un rôle dans ces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Les règles d’utilisation ne sont pas les mêmes si il s’agit d’un usage de loisir ou d’un usage professionnel. Dans le premier cas la réglementation considère qu’il s’agit d’une pratique de l’aéromodélisme, dans le second cas 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Introduction et règles générales</w:t>
      </w:r>
    </w:p>
    <w:p>
      <w:pPr>
        <w:pStyle w:val="Normal"/>
        <w:rPr/>
      </w:pPr>
      <w:r>
        <w:rPr/>
      </w:r>
    </w:p>
    <w:p>
      <w:pPr>
        <w:pStyle w:val="Normal"/>
        <w:rPr/>
      </w:pPr>
      <w:r>
        <w:rPr/>
        <w:t>Dans un premier temps, afin de facilité la compréhension du guide, il est important de préciser certains termes qu’il utilise :</w:t>
      </w:r>
    </w:p>
    <w:tbl>
      <w:tblPr>
        <w:tblW w:w="907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775"/>
        <w:gridCol w:w="6294"/>
      </w:tblGrid>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Zone peuplée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Agglomérations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Rassemblement de personnes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Attroupement de plusieurs dizaines de personnes.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Survol de tiers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 xml:space="preserve">Une personne étrangère à la mission, se trouve dans une zone d’exclusion située en dessous du drone. La surface de la zone d’exclusion dépend de la longueur du câble de retenue dans le cas d’un drone captif. Elle a un rayon de 30 mètres autour de l’ aéronef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vue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a une vue dégagée et directe (aucun dispositif optique) sur l’aéronef.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immersion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porte des lunettes affichant les images de la caméra embarqué sur le drone.</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Aptitude théorique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compétence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Attestation de compétence délivrée par la DGAC après une épreuve pratique. Elle n’est valable que pour un type d’aéronef.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Licence de pilote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Licence de pilote de planeur, d’avion ou d’hélicoptère avec au moins 100 heures de vol en tant que commandant de bord.</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conception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Glossaire pour le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7"/>
        </w:numPr>
        <w:rPr/>
      </w:pPr>
      <w:r>
        <w:rPr/>
        <w:t>L’exploitant doit déclarer son activité à la DGAC et renouveler sa déclaration tous les deux ans.</w:t>
      </w:r>
    </w:p>
    <w:p>
      <w:pPr>
        <w:pStyle w:val="Normal"/>
        <w:numPr>
          <w:ilvl w:val="0"/>
          <w:numId w:val="0"/>
        </w:numPr>
        <w:ind w:left="720" w:hanging="0"/>
        <w:rPr/>
      </w:pPr>
      <w:r>
        <w:rPr/>
      </w:r>
    </w:p>
    <w:p>
      <w:pPr>
        <w:pStyle w:val="Normal"/>
        <w:numPr>
          <w:ilvl w:val="0"/>
          <w:numId w:val="7"/>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7"/>
        </w:numPr>
        <w:rPr/>
      </w:pPr>
      <w:r>
        <w:rPr/>
        <w:t>Le drone doit avoir une plaque avec le nom et l’adresse de l’exploitant.</w:t>
      </w:r>
    </w:p>
    <w:p>
      <w:pPr>
        <w:pStyle w:val="Normal"/>
        <w:numPr>
          <w:ilvl w:val="0"/>
          <w:numId w:val="0"/>
        </w:numPr>
        <w:ind w:left="720" w:hanging="0"/>
        <w:rPr/>
      </w:pPr>
      <w:r>
        <w:rPr/>
      </w:r>
    </w:p>
    <w:p>
      <w:pPr>
        <w:pStyle w:val="Normal"/>
        <w:numPr>
          <w:ilvl w:val="0"/>
          <w:numId w:val="7"/>
        </w:numPr>
        <w:rPr/>
      </w:pPr>
      <w:r>
        <w:rPr/>
        <w:t>Le pilote a obligatoirement une aptitude théorique (certains scénarios imposent en plus une attestation de compétence).</w:t>
      </w:r>
    </w:p>
    <w:p>
      <w:pPr>
        <w:pStyle w:val="Normal"/>
        <w:numPr>
          <w:ilvl w:val="0"/>
          <w:numId w:val="0"/>
        </w:numPr>
        <w:ind w:left="720" w:hanging="0"/>
        <w:rPr/>
      </w:pPr>
      <w:r>
        <w:rPr/>
      </w:r>
    </w:p>
    <w:p>
      <w:pPr>
        <w:pStyle w:val="Normal"/>
        <w:numPr>
          <w:ilvl w:val="0"/>
          <w:numId w:val="7"/>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7"/>
        </w:numPr>
        <w:rPr/>
      </w:pPr>
      <w:r>
        <w:rPr/>
        <w:t>Dans le cas des scénarios opérationnels permettant exclusivement le vol en vue, il est possible de piloter en immersion si et seulement si une autre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7"/>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7"/>
        </w:numPr>
        <w:rPr/>
      </w:pPr>
      <w:r>
        <w:rPr/>
        <w:t>Le vol de nuit est interdit, sauf dérogation.</w:t>
      </w:r>
    </w:p>
    <w:p>
      <w:pPr>
        <w:pStyle w:val="Normal"/>
        <w:numPr>
          <w:ilvl w:val="0"/>
          <w:numId w:val="0"/>
        </w:numPr>
        <w:ind w:left="720" w:hanging="0"/>
        <w:rPr/>
      </w:pPr>
      <w:r>
        <w:rPr/>
      </w:r>
    </w:p>
    <w:p>
      <w:pPr>
        <w:pStyle w:val="Normal"/>
        <w:numPr>
          <w:ilvl w:val="0"/>
          <w:numId w:val="7"/>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8"/>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8"/>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 xml:space="preserve">Le scénario S2 détermine l’usage des aéronefs en zone non peuplée lorsque le pilote est à moins de 1Km du drone (Si il est à moins de 200 mètres, il est couvert par le scénario S1). 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9"/>
        </w:numPr>
        <w:rPr/>
      </w:pPr>
      <w:r>
        <w:rPr/>
        <w:t xml:space="preserve">Dans tous les cas l’exploitant doit être en mesure de fournir l’attestation de conception. </w:t>
      </w:r>
    </w:p>
    <w:p>
      <w:pPr>
        <w:pStyle w:val="Normal"/>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S3 détermine l’usage des aéronefs en zone peuplée lorsque le pilote est à moins de 100 mètres du drone. Bien qu’il ne permette pas le vol de tiers, c’est le seul scénario qui couvre l’utilisation d’un drone en agglomération.</w:t>
      </w:r>
    </w:p>
    <w:p>
      <w:pPr>
        <w:pStyle w:val="Normal"/>
        <w:rPr/>
      </w:pPr>
      <w:r>
        <w:rPr/>
      </w:r>
    </w:p>
    <w:p>
      <w:pPr>
        <w:pStyle w:val="Normal"/>
        <w:numPr>
          <w:ilvl w:val="0"/>
          <w:numId w:val="9"/>
        </w:numPr>
        <w:rPr/>
      </w:pPr>
      <w:r>
        <w:rPr/>
        <w:t>Si le drone le drone fait plus de 2Kg, une attestation de conception est obligatoire.</w:t>
      </w:r>
    </w:p>
    <w:p>
      <w:pPr>
        <w:pStyle w:val="Normal"/>
        <w:rPr/>
      </w:pPr>
      <w:r>
        <w:rPr/>
      </w:r>
    </w:p>
    <w:p>
      <w:pPr>
        <w:pStyle w:val="Normal"/>
        <w:numPr>
          <w:ilvl w:val="0"/>
          <w:numId w:val="9"/>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0"/>
        </w:numPr>
        <w:rPr/>
      </w:pPr>
      <w:r>
        <w:rPr/>
        <w:t>Le drone ne peut pas peser plus de 2Kg.</w:t>
      </w:r>
    </w:p>
    <w:p>
      <w:pPr>
        <w:pStyle w:val="Normal"/>
        <w:numPr>
          <w:ilvl w:val="0"/>
          <w:numId w:val="0"/>
        </w:numPr>
        <w:ind w:left="720" w:hanging="0"/>
        <w:rPr/>
      </w:pPr>
      <w:r>
        <w:rPr/>
      </w:r>
    </w:p>
    <w:p>
      <w:pPr>
        <w:pStyle w:val="Normal"/>
        <w:numPr>
          <w:ilvl w:val="0"/>
          <w:numId w:val="10"/>
        </w:numPr>
        <w:rPr/>
      </w:pPr>
      <w:r>
        <w:rPr/>
        <w:t>Une attestation de conception est obligatoire.</w:t>
      </w:r>
    </w:p>
    <w:p>
      <w:pPr>
        <w:pStyle w:val="Normal"/>
        <w:numPr>
          <w:ilvl w:val="0"/>
          <w:numId w:val="0"/>
        </w:numPr>
        <w:ind w:left="720" w:hanging="0"/>
        <w:rPr/>
      </w:pPr>
      <w:r>
        <w:rPr/>
      </w:r>
    </w:p>
    <w:p>
      <w:pPr>
        <w:pStyle w:val="Normal"/>
        <w:numPr>
          <w:ilvl w:val="0"/>
          <w:numId w:val="10"/>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0"/>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0"/>
        </w:numPr>
        <w:rPr/>
      </w:pPr>
      <w:r>
        <w:rPr/>
        <w:t>L’altitude maximale est de 150 mètres.</w:t>
      </w:r>
    </w:p>
    <w:p>
      <w:pPr>
        <w:pStyle w:val="Normal"/>
        <w:rPr/>
      </w:pPr>
      <w:r>
        <w:rPr/>
      </w:r>
    </w:p>
    <w:p>
      <w:pPr>
        <w:pStyle w:val="Titre3"/>
        <w:numPr>
          <w:ilvl w:val="2"/>
          <w:numId w:val="4"/>
        </w:numPr>
        <w:rPr/>
      </w:pPr>
      <w:bookmarkStart w:id="17" w:name="__RefHeading___Toc5207_1585429884"/>
      <w:bookmarkEnd w:id="17"/>
      <w:r>
        <w:rPr/>
        <w:t>Résumé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557780"/>
                <wp:effectExtent l="0" t="0" r="0" b="0"/>
                <wp:wrapSquare wrapText="largest"/>
                <wp:docPr id="1" name="Cadre6"/>
                <a:graphic xmlns:a="http://schemas.openxmlformats.org/drawingml/2006/main">
                  <a:graphicData uri="http://schemas.microsoft.com/office/word/2010/wordprocessingShape">
                    <wps:wsp>
                      <wps:cNvSpPr/>
                      <wps:spPr>
                        <a:xfrm>
                          <a:off x="0" y="0"/>
                          <a:ext cx="5760000" cy="2557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lIns="90000" rIns="90000" tIns="45000" bIns="45000">
                        <a:noAutofit/>
                      </wps:bodyPr>
                    </wps:wsp>
                  </a:graphicData>
                </a:graphic>
              </wp:anchor>
            </w:drawing>
          </mc:Choice>
          <mc:Fallback>
            <w:pict>
              <v:rect id="shape_0" ID="Cadre6" stroked="f" style="position:absolute;margin-left:-0.05pt;margin-top:0.05pt;width:453.5pt;height:201.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2974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v:rect>
            </w:pict>
          </mc:Fallback>
        </mc:AlternateContent>
      </w:r>
    </w:p>
    <w:p>
      <w:pPr>
        <w:pStyle w:val="Titre3"/>
        <w:numPr>
          <w:ilvl w:val="2"/>
          <w:numId w:val="4"/>
        </w:numPr>
        <w:rPr/>
      </w:pPr>
      <w:bookmarkStart w:id="18" w:name="__RefHeading___Toc5211_1585429884"/>
      <w:bookmarkEnd w:id="18"/>
      <w:r>
        <w:rPr/>
        <w:t>Autres obligations opérationnels:</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1"/>
        </w:numPr>
        <w:rPr/>
      </w:pPr>
      <w:r>
        <w:rPr/>
        <w:t>L’interdiction de transporter des produits dangereux.</w:t>
      </w:r>
    </w:p>
    <w:p>
      <w:pPr>
        <w:pStyle w:val="Normal"/>
        <w:numPr>
          <w:ilvl w:val="0"/>
          <w:numId w:val="0"/>
        </w:numPr>
        <w:ind w:left="720" w:hanging="0"/>
        <w:rPr/>
      </w:pPr>
      <w:r>
        <w:rPr/>
      </w:r>
    </w:p>
    <w:p>
      <w:pPr>
        <w:pStyle w:val="Normal"/>
        <w:numPr>
          <w:ilvl w:val="0"/>
          <w:numId w:val="11"/>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1"/>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1"/>
        </w:numPr>
        <w:rPr/>
      </w:pPr>
      <w:r>
        <w:rPr/>
        <w:t>La loi prévoit l’obligation de procéder à un enregistrement informatique de tous les drones de plus de 800 grammes.</w:t>
      </w:r>
    </w:p>
    <w:p>
      <w:pPr>
        <w:pStyle w:val="Normal"/>
        <w:numPr>
          <w:ilvl w:val="0"/>
          <w:numId w:val="0"/>
        </w:numPr>
        <w:ind w:left="720" w:hanging="0"/>
        <w:rPr/>
      </w:pPr>
      <w:r>
        <w:rPr/>
      </w:r>
    </w:p>
    <w:p>
      <w:pPr>
        <w:pStyle w:val="Normal"/>
        <w:numPr>
          <w:ilvl w:val="0"/>
          <w:numId w:val="11"/>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La première lecture du guide sur la pratique des drones à usage professionnel laisse l’impression d’une législation compliquée qui donne peu de marge de manœuvre. Après 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La décomposition en scénarios opérationnels donne l’impression d’être inspiré par des pratiques déterminées. On peut penser que ces textes ont été rédigés en collaboration étroite avec les professionnels du secteur. La FPDC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On peut en tirer la conclusion qu’il y a une réelle volonté des pouvoirs publics de développer cette nouvelle économie. En témoigne la rapidité avec laquelle les premiers arrêtés gouvernementaux ont été publiés, 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Evolution du marché 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Le marché du drone en France a démarré dès 2012 avec la publication des premiers arrêtés encadrant sa pratique. Cette réactivité face au démarrage de cette technologie a permis une forte croissance du marché et un bon positionnement à l’internationale. Le constructeur « Drone Volt</w:t>
      </w:r>
      <w:r>
        <w:rPr>
          <w:rStyle w:val="Ancredenotedebasdepage"/>
        </w:rPr>
        <w:footnoteReference w:id="10"/>
      </w:r>
      <w:r>
        <w:rPr/>
        <w:t> », l’un des leader Français dans le domaine, a publiée une infographie qui 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644775"/>
                <wp:effectExtent l="0" t="0" r="0" b="0"/>
                <wp:wrapTopAndBottom/>
                <wp:docPr id="5" name="Cadre7"/>
                <a:graphic xmlns:a="http://schemas.openxmlformats.org/drawingml/2006/main">
                  <a:graphicData uri="http://schemas.microsoft.com/office/word/2010/wordprocessingShape">
                    <wps:wsp>
                      <wps:cNvSpPr/>
                      <wps:spPr>
                        <a:xfrm>
                          <a:off x="0" y="0"/>
                          <a:ext cx="5760000" cy="2644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3844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wps:txbx>
                      <wps:bodyPr lIns="90000" rIns="90000" tIns="45000" bIns="45000">
                        <a:noAutofit/>
                      </wps:bodyPr>
                    </wps:wsp>
                  </a:graphicData>
                </a:graphic>
              </wp:anchor>
            </w:drawing>
          </mc:Choice>
          <mc:Fallback>
            <w:pict>
              <v:rect id="shape_0" ID="Cadre7" stroked="f" style="position:absolute;margin-left:-0.05pt;margin-top:0.05pt;width:453.5pt;height:208.1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384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v:textbox>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Oliver Wyman</w:t>
      </w:r>
      <w:r>
        <w:rPr>
          <w:rStyle w:val="Ancredenotedebasdepage"/>
        </w:rPr>
        <w:footnoteReference w:id="12"/>
      </w:r>
      <w:r>
        <w:rPr/>
        <w:t> », 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drawing>
          <wp:inline distT="0" distB="0" distL="0" distR="0">
            <wp:extent cx="5762625" cy="3357880"/>
            <wp:effectExtent l="0" t="0" r="0" b="0"/>
            <wp:docPr id="11"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3434715"/>
                <wp:effectExtent l="0" t="0" r="0" b="0"/>
                <wp:wrapSquare wrapText="largest"/>
                <wp:docPr id="9" name="Cadre9"/>
                <a:graphic xmlns:a="http://schemas.openxmlformats.org/drawingml/2006/main">
                  <a:graphicData uri="http://schemas.microsoft.com/office/word/2010/wordprocessingShape">
                    <wps:wsp>
                      <wps:cNvSpPr/>
                      <wps:spPr>
                        <a:xfrm>
                          <a:off x="0" y="0"/>
                          <a:ext cx="5760000" cy="3434040"/>
                        </a:xfrm>
                        <a:prstGeom prst="rect">
                          <a:avLst/>
                        </a:prstGeom>
                        <a:noFill/>
                        <a:ln>
                          <a:noFill/>
                        </a:ln>
                      </wps:spPr>
                      <wps:style>
                        <a:lnRef idx="0"/>
                        <a:fillRef idx="0"/>
                        <a:effectRef idx="0"/>
                        <a:fontRef idx="minor"/>
                      </wps:style>
                      <wps:txb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wps:txbx>
                      <wps:bodyPr lIns="90000" rIns="90000" tIns="45000" bIns="45000">
                        <a:noAutofit/>
                      </wps:bodyPr>
                    </wps:wsp>
                  </a:graphicData>
                </a:graphic>
              </wp:anchor>
            </w:drawing>
          </mc:Choice>
          <mc:Fallback>
            <w:pict>
              <v:rect id="shape_0" ID="Cadre9" stroked="f" style="position:absolute;margin-left:-0.05pt;margin-top:0.05pt;width:453.5pt;height:270.35pt;mso-position-horizontal:center">
                <w10:wrap type="square"/>
                <v:fill o:detectmouseclick="t" on="false"/>
                <v:stroke color="#3465a4" joinstyle="round" endcap="flat"/>
                <v:textbo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v:textbox>
              </v:rect>
            </w:pict>
          </mc:Fallback>
        </mc:AlternateContent>
      </w:r>
    </w:p>
    <w:p>
      <w:pPr>
        <w:pStyle w:val="Normal"/>
        <w:rPr/>
      </w:pPr>
      <w:r>
        <w:rPr/>
        <w:t>Toujours selon la même société, l’agriculture de précision représente pour le moment la plus grosse part de marché dans l’usage des drones professionnels. Elle estime que cette position n’a pas vocation a perdurer compte tenu des faibles moyens du secteur et de la faible valeur ajoutée qu’apporte les drones. Alors que le secteur est leader aujourd’hui, la société de conseil lui prédit une part de marché mondial de 7 % à l’horizon 2020. Si il partage le même diagnostic, le cabinet « Oliver Wyman » est plus optimiste concernant l’usage des drones dans l’agriculture en France, où il lui prédit une part de marché de 28 %.</w:t>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38525" cy="3145790"/>
                <wp:effectExtent l="0" t="0" r="0" b="0"/>
                <wp:wrapTopAndBottom/>
                <wp:docPr id="12" name="Cadre4"/>
                <a:graphic xmlns:a="http://schemas.openxmlformats.org/drawingml/2006/main">
                  <a:graphicData uri="http://schemas.microsoft.com/office/word/2010/wordprocessingShape">
                    <wps:wsp>
                      <wps:cNvSpPr/>
                      <wps:spPr>
                        <a:xfrm>
                          <a:off x="0" y="0"/>
                          <a:ext cx="3438000" cy="314532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drawing>
                                <wp:inline distT="0" distB="0" distL="0" distR="0">
                                  <wp:extent cx="3438525" cy="25215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wps:txbx>
                      <wps:bodyPr lIns="90000" rIns="90000" tIns="45000" bIns="45000">
                        <a:noAutofit/>
                      </wps:bodyPr>
                    </wps:wsp>
                  </a:graphicData>
                </a:graphic>
              </wp:anchor>
            </w:drawing>
          </mc:Choice>
          <mc:Fallback>
            <w:pict>
              <v:rect id="shape_0" ID="Cadre4" stroked="f" style="position:absolute;margin-left:91.4pt;margin-top:0.05pt;width:270.65pt;height:247.6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drawing>
                          <wp:inline distT="0" distB="0" distL="0" distR="0">
                            <wp:extent cx="3438525" cy="2521585"/>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v:textbox>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la livraison aux particuliers ?</w:t>
      </w:r>
    </w:p>
    <w:p>
      <w:pPr>
        <w:pStyle w:val="Normal"/>
        <w:rPr/>
      </w:pPr>
      <w:r>
        <w:rPr/>
      </w:r>
    </w:p>
    <w:p>
      <w:pPr>
        <w:pStyle w:val="Normal"/>
        <w:rPr/>
      </w:pPr>
      <w:r>
        <w:rPr/>
        <w:t>Une forte campagne de communication a été menée concernant le possible usage des drones pour effectuer des livraisons aux particuliers. Un engouement médiatique a laissé penser que cette technologie était imminente. Il semblerait que cette projection soit complètement injustifiée.</w:t>
      </w:r>
    </w:p>
    <w:p>
      <w:pPr>
        <w:pStyle w:val="Normal"/>
        <w:rPr/>
      </w:pPr>
      <w:r>
        <w:rPr/>
      </w:r>
    </w:p>
    <w:p>
      <w:pPr>
        <w:pStyle w:val="Normal"/>
        <w:rPr/>
      </w:pPr>
      <w:r>
        <w:rPr/>
        <w:t>Avec la législation actuelle dans tous les pays permettant le vol de drones et compte tenu de la rentabilité hypothétique d’un tel service, « Gartner » estime qu’une telle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hyperlink r:id="rId6">
        <w:r>
          <w:rPr>
            <w:rStyle w:val="LienInternet"/>
          </w:rPr>
          <w:t>https://www.flickr.com/photos/franceecologieenergie/sets/72157656072394773</w:t>
        </w:r>
      </w:hyperlink>
    </w:p>
    <w:p>
      <w:pPr>
        <w:pStyle w:val="Normal"/>
        <w:rPr/>
      </w:pPr>
      <w:r>
        <w:rPr/>
        <w:t>Photogrammetrie</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Le fort développement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Leur coût est élevé et ne permet pas, dans le cadre de cette étude, de s’en procurer un exemplaire pour faire une analyse technique de son fonctionnement. Même si cela était possible, les implémentations technologiques pour concevoir un aéronef sont tellement multiples, que le résultat de cette analyse ne serait exhaustif que pour l’engin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4"/>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429760"/>
                <wp:effectExtent l="0" t="0" r="0" b="0"/>
                <wp:wrapSquare wrapText="largest"/>
                <wp:docPr id="16" name="Cadre5"/>
                <a:graphic xmlns:a="http://schemas.openxmlformats.org/drawingml/2006/main">
                  <a:graphicData uri="http://schemas.microsoft.com/office/word/2010/wordprocessingShape">
                    <wps:wsp>
                      <wps:cNvSpPr/>
                      <wps:spPr>
                        <a:xfrm>
                          <a:off x="0" y="0"/>
                          <a:ext cx="5759280" cy="4429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417004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5" stroked="f" style="position:absolute;margin-left:0pt;margin-top:0.05pt;width:453.45pt;height:348.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417004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peut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322445" cy="2767330"/>
                <wp:effectExtent l="0" t="0" r="0" b="0"/>
                <wp:wrapTopAndBottom/>
                <wp:docPr id="20" name="Cadre1"/>
                <a:graphic xmlns:a="http://schemas.openxmlformats.org/drawingml/2006/main">
                  <a:graphicData uri="http://schemas.microsoft.com/office/word/2010/wordprocessingShape">
                    <wps:wsp>
                      <wps:cNvSpPr/>
                      <wps:spPr>
                        <a:xfrm>
                          <a:off x="0" y="0"/>
                          <a:ext cx="4321800" cy="27666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pt;margin-top:0.05pt;width:340.25pt;height:217.8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 xml:space="preserve">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w:t>
      </w:r>
      <w:r>
        <w:rPr/>
        <w:t xml:space="preserve">automatique </w:t>
      </w:r>
      <w:r>
        <w:rPr/>
        <w:t>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civiles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5"/>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5"/>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5"/>
        </w:numPr>
        <w:rPr/>
      </w:pPr>
      <w:r>
        <w:rPr/>
        <w:t>Les applications audiovisuelles des drones nécessitent souvent une fonctionnalité de suivi de cible (« tracking »). Le drone, en plus de suivre son plan de vol, va devoir s’orienter pour que la cible choisie soit toujours au centre de l’image. 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Cette configuration nécessite donc obligatoirement une carte mère avec un système d’exploitation exécutant des programmes tel que OpenCV.</w:t>
      </w:r>
    </w:p>
    <w:p>
      <w:pPr>
        <w:pStyle w:val="Normal"/>
        <w:numPr>
          <w:ilvl w:val="0"/>
          <w:numId w:val="0"/>
        </w:numPr>
        <w:ind w:hanging="0"/>
        <w:rPr/>
      </w:pPr>
      <w:r>
        <w:rPr/>
      </w:r>
    </w:p>
    <w:p>
      <w:pPr>
        <w:pStyle w:val="Normal"/>
        <w:numPr>
          <w:ilvl w:val="0"/>
          <w:numId w:val="5"/>
        </w:numPr>
        <w:rPr/>
      </w:pPr>
      <w:r>
        <w:rPr/>
        <w:t>A l’instar du « tracking », il existe des systèmes d’évitement d’obstacle automatiques  qui se base sur des capteurs optiques et qui nécessitent également un composant centralisé entre les capteurs et la direction des moteurs.</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peut échanger une grande quantité de données avec la station au sol. On peut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6"/>
        </w:numPr>
        <w:rPr/>
      </w:pPr>
      <w:r>
        <w:rPr/>
        <w:t>Une antenne de télémétrie pour envoyer les données de navigation à la station au sol.</w:t>
      </w:r>
    </w:p>
    <w:p>
      <w:pPr>
        <w:pStyle w:val="Normal"/>
        <w:numPr>
          <w:ilvl w:val="0"/>
          <w:numId w:val="6"/>
        </w:numPr>
        <w:rPr/>
      </w:pPr>
      <w:r>
        <w:rPr/>
        <w:t>Un ou deux récepteurs de radio commandes, pour commander les moteurs du drone et ceux de la caméra.</w:t>
      </w:r>
    </w:p>
    <w:p>
      <w:pPr>
        <w:pStyle w:val="Normal"/>
        <w:numPr>
          <w:ilvl w:val="0"/>
          <w:numId w:val="6"/>
        </w:numPr>
        <w:rPr/>
      </w:pPr>
      <w:r>
        <w:rPr/>
        <w:t>Un émetteur vidéo pour envoyer les images de la caméra.</w:t>
      </w:r>
    </w:p>
    <w:p>
      <w:pPr>
        <w:pStyle w:val="Normal"/>
        <w:numPr>
          <w:ilvl w:val="0"/>
          <w:numId w:val="0"/>
        </w:numPr>
        <w:ind w:left="720" w:hanging="0"/>
        <w:rPr/>
      </w:pPr>
      <w:r>
        <w:rPr/>
      </w:r>
    </w:p>
    <w:p>
      <w:pPr>
        <w:pStyle w:val="Normal"/>
        <w:numPr>
          <w:ilvl w:val="0"/>
          <w:numId w:val="6"/>
        </w:numPr>
        <w:rPr/>
      </w:pPr>
      <w:r>
        <w:rPr/>
        <w:t>Une antenne WIFI ou Bluetooth capable de transmettre tout type de données à la station de base.</w:t>
      </w:r>
    </w:p>
    <w:p>
      <w:pPr>
        <w:pStyle w:val="Normal"/>
        <w:numPr>
          <w:ilvl w:val="0"/>
          <w:numId w:val="6"/>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Titre4"/>
        <w:rPr/>
      </w:pPr>
      <w:r>
        <w:rPr/>
      </w:r>
    </w:p>
    <w:p>
      <w:pPr>
        <w:pStyle w:val="Titre4"/>
        <w:rPr/>
      </w:pPr>
      <w:r>
        <w:rPr/>
        <w:t>Les batterie</w:t>
      </w:r>
      <w:r>
        <w:rPr/>
        <w:t>s</w:t>
      </w:r>
    </w:p>
    <w:p>
      <w:pPr>
        <w:pStyle w:val="Normal"/>
        <w:rPr/>
      </w:pPr>
      <w:r>
        <w:rPr/>
      </w:r>
    </w:p>
    <w:p>
      <w:pPr>
        <w:pStyle w:val="Normal"/>
        <w:rPr/>
      </w:pPr>
      <w:r>
        <w:rPr/>
        <w:t>Les drones fonctionnent grâce à des accumulateurs Lithium Polymère dites batteries LiPo. Ce sont des éléments qui se branchent et qui peuvent être remplacées en cours de missions. Les batteries fournies par les constructeurs de drone permettent des vols d’une vingtaine de minutes. Certaines batteries dites « intelligentes », fournissent au système des informations de charge et de température qui sont relayées à la station au sol.</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xml:space="preserve"> », installé en usine. Celui-ci est dédié au composant et on peut difficilement le mettre à jour. </w:t>
      </w:r>
    </w:p>
    <w:p>
      <w:pPr>
        <w:pStyle w:val="Normal"/>
        <w:rPr>
          <w:u w:val="none"/>
        </w:rPr>
      </w:pPr>
      <w:r>
        <w:rPr/>
      </w:r>
    </w:p>
    <w:p>
      <w:pPr>
        <w:pStyle w:val="Normal"/>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1355" cy="3562350"/>
                <wp:effectExtent l="0" t="0" r="0" b="0"/>
                <wp:wrapTopAndBottom/>
                <wp:docPr id="24" name="Cadre3"/>
                <a:graphic xmlns:a="http://schemas.openxmlformats.org/drawingml/2006/main">
                  <a:graphicData uri="http://schemas.microsoft.com/office/word/2010/wordprocessingShape">
                    <wps:wsp>
                      <wps:cNvSpPr/>
                      <wps:spPr>
                        <a:xfrm>
                          <a:off x="0" y="0"/>
                          <a:ext cx="5760720" cy="3561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05pt;margin-top:0.05pt;width:453.55pt;height:280.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r>
        <w:rPr>
          <w:u w:val="none"/>
        </w:rPr>
        <w:t xml:space="preserve">Il existe toutefois des cartes de navigation </w:t>
      </w:r>
      <w:r>
        <w:rPr>
          <w:u w:val="none"/>
        </w:rPr>
        <w:t xml:space="preserve">qui peuvent piloter un support mobile de caméra et </w:t>
      </w:r>
      <w:r>
        <w:rPr>
          <w:u w:val="none"/>
        </w:rPr>
        <w:t>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u w:val="none"/>
        </w:rPr>
      </w:pPr>
      <w:r>
        <w:rPr/>
      </w:r>
      <w:r>
        <mc:AlternateContent>
          <mc:Choice Requires="wps">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5759450" cy="3656965"/>
                <wp:effectExtent l="0" t="0" r="0" b="0"/>
                <wp:wrapSquare wrapText="largest"/>
                <wp:docPr id="28" name="Cadre15"/>
                <a:graphic xmlns:a="http://schemas.openxmlformats.org/drawingml/2006/main">
                  <a:graphicData uri="http://schemas.microsoft.com/office/word/2010/wordprocessingShape">
                    <wps:wsp>
                      <wps:cNvSpPr txBox="1"/>
                      <wps:spPr>
                        <a:xfrm>
                          <a:off x="0" y="0"/>
                          <a:ext cx="5759450" cy="3656965"/>
                        </a:xfrm>
                        <a:prstGeom prst="rect"/>
                      </wps:spPr>
                      <wps:txbx>
                        <w:txbxContent>
                          <w:p>
                            <w:pPr>
                              <w:pStyle w:val="Illustration"/>
                              <w:spacing w:before="120" w:after="120"/>
                              <w:jc w:val="center"/>
                              <w:rPr/>
                            </w:pPr>
                            <w:r>
                              <w:rPr/>
                              <w:drawing>
                                <wp:inline distT="0" distB="0" distL="0" distR="0">
                                  <wp:extent cx="5759450" cy="3397885"/>
                                  <wp:effectExtent l="0" t="0" r="0" b="0"/>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wps:txbx>
                      <wps:bodyPr anchor="t" lIns="0" tIns="0" rIns="0" bIns="0">
                        <a:noAutofit/>
                      </wps:bodyPr>
                    </wps:wsp>
                  </a:graphicData>
                </a:graphic>
              </wp:anchor>
            </w:drawing>
          </mc:Choice>
          <mc:Fallback>
            <w:pict>
              <v:rect style="position:absolute;rotation:0;width:453.5pt;height:287.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397885"/>
                            <wp:effectExtent l="0" t="0" r="0" b="0"/>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v:textbox>
                <w10:wrap type="square" side="largest"/>
              </v:rect>
            </w:pict>
          </mc:Fallback>
        </mc:AlternateContent>
      </w:r>
    </w:p>
    <w:p>
      <w:pPr>
        <w:pStyle w:val="Normal"/>
        <w:rPr/>
      </w:pPr>
      <w:r>
        <w:rPr/>
      </w:r>
    </w:p>
    <w:p>
      <w:pPr>
        <w:pStyle w:val="Normal"/>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1355" cy="3232150"/>
                <wp:effectExtent l="0" t="0" r="0" b="0"/>
                <wp:wrapSquare wrapText="largest"/>
                <wp:docPr id="31" name="Cadre4"/>
                <a:graphic xmlns:a="http://schemas.openxmlformats.org/drawingml/2006/main">
                  <a:graphicData uri="http://schemas.microsoft.com/office/word/2010/wordprocessingShape">
                    <wps:wsp>
                      <wps:cNvSpPr/>
                      <wps:spPr>
                        <a:xfrm>
                          <a:off x="0" y="0"/>
                          <a:ext cx="5760720" cy="32313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05pt;margin-top:0.05pt;width:453.55pt;height:254.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53" w:name="__RefHeading___Toc5271_1585429884"/>
      <w:bookmarkEnd w:id="53"/>
      <w:r>
        <w:rPr/>
        <w:t>Les modules 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la grande majorité des émissions radio sont faites sur les fréquences de 2,4Ghz et 5,8Ghz.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quelques mètres et plusieurs kilomètres.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 xml:space="preserve">Ce protocole de niveau 2 peut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peut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utilisent ce protocole. Les constructeurs présentent des portées de 2km grâce un multiplexage MIMO (Multiple Input Multiple Output). Toutefois si l’on respecte les puissances maximales autorisées en France, on peut difficilement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Si le pilotage de drone à travers le réseau 4G est encore à ses balbutiements, un grand nombre de constructeurs propose déjà des connexions au réseau LTE pour transmettre des données de mesures ou de navigations. Par exemple, un des 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4405" cy="2837815"/>
                <wp:effectExtent l="0" t="0" r="0" b="0"/>
                <wp:wrapSquare wrapText="largest"/>
                <wp:docPr id="35" name="Cadre5"/>
                <a:graphic xmlns:a="http://schemas.openxmlformats.org/drawingml/2006/main">
                  <a:graphicData uri="http://schemas.microsoft.com/office/word/2010/wordprocessingShape">
                    <wps:wsp>
                      <wps:cNvSpPr/>
                      <wps:spPr>
                        <a:xfrm>
                          <a:off x="0" y="0"/>
                          <a:ext cx="4763880" cy="28371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pt;margin-top:0.05pt;width:375.05pt;height:223.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bookmarkStart w:id="61" w:name="__RefHeading___Toc1512_545113008"/>
      <w:bookmarkEnd w:id="61"/>
      <w:r>
        <w:rPr/>
        <w:t>Positionnement 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46750" cy="2901950"/>
                <wp:effectExtent l="0" t="0" r="0" b="0"/>
                <wp:wrapTopAndBottom/>
                <wp:docPr id="39" name="Cadre10"/>
                <a:graphic xmlns:a="http://schemas.openxmlformats.org/drawingml/2006/main">
                  <a:graphicData uri="http://schemas.microsoft.com/office/word/2010/wordprocessingShape">
                    <wps:wsp>
                      <wps:cNvSpPr/>
                      <wps:spPr>
                        <a:xfrm>
                          <a:off x="0" y="0"/>
                          <a:ext cx="5745960" cy="29012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45480" cy="247015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wps:txbx>
                      <wps:bodyPr lIns="90000" rIns="90000" tIns="45000" bIns="45000">
                        <a:noAutofit/>
                      </wps:bodyPr>
                    </wps:wsp>
                  </a:graphicData>
                </a:graphic>
              </wp:anchor>
            </w:drawing>
          </mc:Choice>
          <mc:Fallback>
            <w:pict>
              <v:rect id="shape_0" ID="Cadre10" stroked="f" style="position:absolute;margin-left:0.5pt;margin-top:0.05pt;width:452.4pt;height:228.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45480" cy="247015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v:textbox>
              </v:rect>
            </w:pict>
          </mc:Fallback>
        </mc:AlternateContent>
      </w:r>
    </w:p>
    <w:p>
      <w:pPr>
        <w:pStyle w:val="Normal"/>
        <w:rPr/>
      </w:pPr>
      <w:r>
        <w:rPr/>
      </w:r>
    </w:p>
    <w:p>
      <w:pPr>
        <w:pStyle w:val="Titre2"/>
        <w:numPr>
          <w:ilvl w:val="1"/>
          <w:numId w:val="4"/>
        </w:numPr>
        <w:rPr/>
      </w:pPr>
      <w:bookmarkStart w:id="62" w:name="__RefHeading___Toc5279_1585429884"/>
      <w:bookmarkEnd w:id="62"/>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de loisir.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ouvertes.</w:t>
      </w:r>
    </w:p>
    <w:p>
      <w:pPr>
        <w:pStyle w:val="Normal"/>
        <w:rPr/>
      </w:pPr>
      <w:r>
        <w:rPr/>
      </w:r>
    </w:p>
    <w:p>
      <w:pPr>
        <w:pStyle w:val="Normal"/>
        <w:rPr/>
      </w:pPr>
      <w:r>
        <w:rPr/>
        <w:t>Les drones professionnels semblent pour le moment épargnés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3" w:name="__RefHeading___Toc5281_1585429884"/>
      <w:bookmarkEnd w:id="63"/>
      <w:r>
        <w:rPr/>
        <w:t>Les failles révélées</w:t>
      </w:r>
    </w:p>
    <w:p>
      <w:pPr>
        <w:pStyle w:val="Normal"/>
        <w:rPr/>
      </w:pPr>
      <w:r>
        <w:rPr/>
      </w:r>
    </w:p>
    <w:p>
      <w:pPr>
        <w:pStyle w:val="Titre4"/>
        <w:rPr/>
      </w:pPr>
      <w:bookmarkStart w:id="64" w:name="__RefHeading___Toc1673_1832666234"/>
      <w:bookmarkEnd w:id="64"/>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5" w:name="__RefHeading___Toc1675_1832666234"/>
      <w:bookmarkEnd w:id="65"/>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a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connexions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qui fonctionnent avec des systèmes d’exploitation connus sont des ordinateurs comme les autres et qu’ils sont exposés sur des réseaux visibles.</w:t>
      </w:r>
    </w:p>
    <w:p>
      <w:pPr>
        <w:pStyle w:val="Normal"/>
        <w:rPr/>
      </w:pPr>
      <w:r>
        <w:rPr/>
      </w:r>
    </w:p>
    <w:p>
      <w:pPr>
        <w:pStyle w:val="Titre3"/>
        <w:numPr>
          <w:ilvl w:val="2"/>
          <w:numId w:val="3"/>
        </w:numPr>
        <w:rPr/>
      </w:pPr>
      <w:bookmarkStart w:id="66" w:name="__RefHeading___Toc5283_1585429884"/>
      <w:bookmarkEnd w:id="66"/>
      <w:r>
        <w:rPr/>
        <w:t>Les failles potentielles</w:t>
      </w:r>
    </w:p>
    <w:p>
      <w:pPr>
        <w:pStyle w:val="Normal"/>
        <w:rPr/>
      </w:pPr>
      <w:r>
        <w:rPr/>
      </w:r>
    </w:p>
    <w:p>
      <w:pPr>
        <w:pStyle w:val="Normal"/>
        <w:rPr/>
      </w:pPr>
      <w:r>
        <w:rPr/>
        <w:t>Lors de l’utilisation d’un drone professionnel, il est donc important de mettre en place une politique de sécurité standard. Il convient de sécuriser le système de drone complet. C’est à dire le drone, la station au sol et le pilote. 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Par exemple il peut être particulièrement important de sécuriser le transfert des vidéos pour un drone d’inspection de site industriel. 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Comme déjà évoqué, les coûts des drones professionnels font que l’ingénierie inverse est encore difficile à mettre en œuvre. Cependant, si l’on tient compte des conclusions amenées par les études de marché la situation risque de changer. Les constructeurs de drones professionnels vont semble-t-il migrer leur métier du « matériel » au « logiciel » à cause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Les systèmes de drones ont vocation a devenir des systèmes informatiques complets. A ce titre ils sont trop hétérogènes pour isoler des failles en particulier. Malgré tout, afin de pouvoir intégrer la chaîne informatique au sein d’une politique de sécurité on peut affirmer les points suivants :</w:t>
      </w:r>
    </w:p>
    <w:p>
      <w:pPr>
        <w:pStyle w:val="Normal"/>
        <w:rPr/>
      </w:pPr>
      <w:r>
        <w:rPr/>
      </w:r>
    </w:p>
    <w:p>
      <w:pPr>
        <w:pStyle w:val="Normal"/>
        <w:numPr>
          <w:ilvl w:val="0"/>
          <w:numId w:val="12"/>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2"/>
        </w:numPr>
        <w:rPr/>
      </w:pPr>
      <w:r>
        <w:rPr/>
        <w:t>Sélectionner et former le personnel.</w:t>
      </w:r>
    </w:p>
    <w:p>
      <w:pPr>
        <w:pStyle w:val="Normal"/>
        <w:rPr/>
      </w:pPr>
      <w:r>
        <w:rPr/>
      </w:r>
    </w:p>
    <w:p>
      <w:pPr>
        <w:pStyle w:val="Titre2"/>
        <w:numPr>
          <w:ilvl w:val="1"/>
          <w:numId w:val="4"/>
        </w:numPr>
        <w:rPr/>
      </w:pPr>
      <w:bookmarkStart w:id="67" w:name="__RefHeading___Toc5257_1585429884"/>
      <w:bookmarkEnd w:id="67"/>
      <w:r>
        <w:rPr/>
        <w:t>Les types de drones et leur usage</w:t>
      </w:r>
    </w:p>
    <w:p>
      <w:pPr>
        <w:pStyle w:val="Normal"/>
        <w:rPr/>
      </w:pPr>
      <w:r>
        <w:rPr/>
      </w:r>
    </w:p>
    <w:p>
      <w:pPr>
        <w:pStyle w:val="Normal"/>
        <w:rPr/>
      </w:pPr>
      <w:r>
        <w:rPr/>
        <w:t>Lors du choix d’un drone 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4"/>
        </w:numPr>
        <w:rPr/>
      </w:pPr>
      <w:bookmarkStart w:id="68" w:name="__RefHeading___Toc1514_545113008"/>
      <w:bookmarkEnd w:id="68"/>
      <w:r>
        <w:rPr/>
        <w:t>Les drones à voilures fixes pour les scénarios S2 et S4</w:t>
      </w:r>
    </w:p>
    <w:p>
      <w:pPr>
        <w:pStyle w:val="Normal"/>
        <w:rPr/>
      </w:pPr>
      <w:r>
        <w:rPr/>
      </w:r>
    </w:p>
    <w:p>
      <w:pPr>
        <w:pStyle w:val="Titre4"/>
        <w:rPr/>
      </w:pPr>
      <w:bookmarkStart w:id="69" w:name="__RefHeading___Toc1516_545113008"/>
      <w:bookmarkEnd w:id="69"/>
      <w:r>
        <w:rPr/>
        <w:t>Caractéristiques</w:t>
      </w:r>
    </w:p>
    <w:p>
      <w:pPr>
        <w:pStyle w:val="Normal"/>
        <w:rPr/>
      </w:pPr>
      <w:r>
        <w:rPr/>
      </w:r>
    </w:p>
    <w:p>
      <w:pPr>
        <w:pStyle w:val="Normal"/>
        <w:rPr/>
      </w:pPr>
      <w:r>
        <w:rPr/>
        <w:t xml:space="preserve">Ces derniers ont une portance naturelle qui leur permet de parcourir de grandes distances en planant et en consommant peu d’énergie. </w:t>
      </w:r>
      <w:r>
        <w:rPr/>
        <w:t>Il peuvent faire des vols pouvant durer jusqu’à deux heures</w:t>
      </w:r>
      <w:r>
        <w:rPr/>
        <w:t>.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312035"/>
                <wp:effectExtent l="0" t="0" r="0" b="0"/>
                <wp:wrapSquare wrapText="largest"/>
                <wp:docPr id="43" name="Cadre11"/>
                <a:graphic xmlns:a="http://schemas.openxmlformats.org/drawingml/2006/main">
                  <a:graphicData uri="http://schemas.microsoft.com/office/word/2010/wordprocessingShape">
                    <wps:wsp>
                      <wps:cNvSpPr/>
                      <wps:spPr>
                        <a:xfrm>
                          <a:off x="0" y="0"/>
                          <a:ext cx="5760000" cy="23115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491990" cy="179959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wps:txbx>
                      <wps:bodyPr lIns="90000" rIns="90000" tIns="45000" bIns="45000">
                        <a:noAutofit/>
                      </wps:bodyPr>
                    </wps:wsp>
                  </a:graphicData>
                </a:graphic>
              </wp:anchor>
            </w:drawing>
          </mc:Choice>
          <mc:Fallback>
            <w:pict>
              <v:rect id="shape_0" ID="Cadre11" stroked="f" style="position:absolute;margin-left:-0.05pt;margin-top:0.05pt;width:453.5pt;height:181.9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491990" cy="1799590"/>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v:textbox>
              </v:rect>
            </w:pict>
          </mc:Fallback>
        </mc:AlternateContent>
      </w: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p>
    <w:p>
      <w:pPr>
        <w:pStyle w:val="Normal"/>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36315" cy="2376805"/>
                <wp:effectExtent l="0" t="0" r="0" b="0"/>
                <wp:wrapTopAndBottom/>
                <wp:docPr id="47" name="Cadre12"/>
                <a:graphic xmlns:a="http://schemas.openxmlformats.org/drawingml/2006/main">
                  <a:graphicData uri="http://schemas.microsoft.com/office/word/2010/wordprocessingShape">
                    <wps:wsp>
                      <wps:cNvSpPr/>
                      <wps:spPr>
                        <a:xfrm>
                          <a:off x="0" y="0"/>
                          <a:ext cx="3535560" cy="23760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3057525" cy="1557020"/>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wps:txbx>
                      <wps:bodyPr lIns="90000" rIns="90000" tIns="45000" bIns="45000">
                        <a:noAutofit/>
                      </wps:bodyPr>
                    </wps:wsp>
                  </a:graphicData>
                </a:graphic>
              </wp:anchor>
            </w:drawing>
          </mc:Choice>
          <mc:Fallback>
            <w:pict>
              <v:rect id="shape_0" ID="Cadre12" stroked="f" style="position:absolute;margin-left:87.55pt;margin-top:0.05pt;width:278.35pt;height:187.0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3057525" cy="1557020"/>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v:textbox>
              </v:rect>
            </w:pict>
          </mc:Fallback>
        </mc:AlternateContent>
      </w:r>
    </w:p>
    <w:p>
      <w:pPr>
        <w:pStyle w:val="Titre4"/>
        <w:rPr/>
      </w:pPr>
      <w:bookmarkStart w:id="70" w:name="__RefHeading___Toc1518_545113008"/>
      <w:bookmarkEnd w:id="70"/>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linéaire et sans obstacle.</w:t>
      </w:r>
    </w:p>
    <w:p>
      <w:pPr>
        <w:pStyle w:val="Normal"/>
        <w:rPr/>
      </w:pPr>
      <w:r>
        <w:rPr/>
      </w:r>
    </w:p>
    <w:p>
      <w:pPr>
        <w:pStyle w:val="Titre3"/>
        <w:numPr>
          <w:ilvl w:val="2"/>
          <w:numId w:val="4"/>
        </w:numPr>
        <w:rPr/>
      </w:pPr>
      <w:bookmarkStart w:id="71" w:name="__RefHeading___Toc1520_545113008"/>
      <w:bookmarkEnd w:id="71"/>
      <w:r>
        <w:rPr/>
        <w:t>Les drones à voilures tournantes pour les scénarios S1 à S3</w:t>
      </w:r>
    </w:p>
    <w:p>
      <w:pPr>
        <w:pStyle w:val="Normal"/>
        <w:rPr/>
      </w:pPr>
      <w:r>
        <w:rPr/>
      </w:r>
    </w:p>
    <w:p>
      <w:pPr>
        <w:pStyle w:val="Normal"/>
        <w:rPr/>
      </w:pPr>
      <w:r>
        <w:rPr/>
        <w:t xml:space="preserve">Les drones appelés multirotors sont des drones dont la portance est uniquement assurée par la rotation d’au moins 3 hélices </w:t>
      </w:r>
      <w:r>
        <w:rPr/>
        <w:t>(il existe des drones hélicoptères mais leur utilisation est marginale)</w:t>
      </w:r>
      <w:r>
        <w:rPr/>
        <w:t>. Ce système nécessite une grande quantité d’énergie mais permet de définir des trajectoires non linéaire dans des environnements avec obstacles. Ils peuvent être pilotés à vue en commande manuelle directe pour des scénario de type S1 et S3. Il est également possible de les piloter hors vue grâce à de la programmation de vol pour des scénarios de type S2. Pour ce scénario ils offrent un de temps de vol plus court que les ailes mais ils ont l’avantage d’être beaucoup moins cher. Leur utilisation dans le cadre des scénarios de type S1 et S3 et souvent associé à une émission vidéo qui facilite la navigation du drone mais limite leur portée.</w:t>
      </w:r>
    </w:p>
    <w:p>
      <w:pPr>
        <w:pStyle w:val="Normal"/>
        <w:rPr/>
      </w:pPr>
      <w:r>
        <w:rPr/>
      </w:r>
    </w:p>
    <w:p>
      <w:pPr>
        <w:pStyle w:val="Normal"/>
        <w:rPr/>
      </w:pPr>
      <w:r>
        <w:rPr/>
        <w:t>Ce type de drones représente la grand majorité et il est très difficile de les catégoriser tant leurs fonctionnalités sont diverses. Je choisirai de les isoler en deux types selon une caractéristique qui me semble déterminer un usage particulier.</w:t>
      </w:r>
    </w:p>
    <w:p>
      <w:pPr>
        <w:pStyle w:val="Normal"/>
        <w:rPr/>
      </w:pPr>
      <w:r>
        <w:rPr/>
      </w:r>
    </w:p>
    <w:p>
      <w:pPr>
        <w:pStyle w:val="Titre4"/>
        <w:rPr/>
      </w:pPr>
      <w:bookmarkStart w:id="72" w:name="__RefHeading___Toc1522_545113008"/>
      <w:bookmarkEnd w:id="72"/>
      <w:r>
        <w:rPr/>
        <w:t>Les multirotors porteurs</w:t>
      </w:r>
    </w:p>
    <w:p>
      <w:pPr>
        <w:pStyle w:val="Titre4"/>
        <w:rPr/>
      </w:pPr>
      <w:r>
        <w:rPr/>
      </w:r>
    </w:p>
    <w:p>
      <w:pPr>
        <w:pStyle w:val="Normal"/>
        <w:rPr/>
      </w:pPr>
      <w:r>
        <w:rPr/>
        <w:t>Ce sont des drones capable de porter des charges importantes. Ils ont en général un minimum de six moteurs. La multiplication des moteurs permet de lever des poids élevés. Leur distribution dans l’espace permet également une meilleure stabilité et une meilleure navigabilité du drone. Ils sont naturellement plus cher que les multirotors à trois ou quatre moteurs.</w:t>
      </w:r>
    </w:p>
    <w:p>
      <w:pPr>
        <w:pStyle w:val="Normal"/>
        <w:rPr/>
      </w:pPr>
      <w:r>
        <w:rPr/>
      </w:r>
    </w:p>
    <w:p>
      <w:pPr>
        <w:pStyle w:val="Normal"/>
        <w:rPr/>
      </w:pPr>
      <w:r>
        <w:rPr/>
        <w:t>Ces drones sont utilisés essentiellement pour le cinéma car ils permettent d’embarquer du matériel de prise de vue professionnel avec un système de commande indépendant de celui du drone. Dans les autres cas, on les utilise pour tout les travaux en altitude qui nécessitent de porter du matériel. Par exemple la pulvérisation de produit de traitement sur un toit pour le BTP ou l’injection d’insecticide dans un nid de frôlons. Ces types de travaux ne se font jamais sans un retour vidéo et nécessite la plupart du temps une commande directe.</w:t>
      </w:r>
    </w:p>
    <w:p>
      <w:pPr>
        <w:pStyle w:val="Normal"/>
        <w:rPr/>
      </w:pPr>
      <w:r>
        <w:rPr/>
      </w:r>
    </w:p>
    <w:p>
      <w:pPr>
        <w:pStyle w:val="Normal"/>
        <w:rPr/>
      </w:pPr>
      <w:r>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13555" cy="2419985"/>
                <wp:effectExtent l="0" t="0" r="0" b="0"/>
                <wp:wrapTopAndBottom/>
                <wp:docPr id="51" name="Cadre13"/>
                <a:graphic xmlns:a="http://schemas.openxmlformats.org/drawingml/2006/main">
                  <a:graphicData uri="http://schemas.microsoft.com/office/word/2010/wordprocessingShape">
                    <wps:wsp>
                      <wps:cNvSpPr/>
                      <wps:spPr>
                        <a:xfrm>
                          <a:off x="0" y="0"/>
                          <a:ext cx="4312800" cy="2419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2920" cy="2160270"/>
                                  <wp:effectExtent l="0" t="0" r="0" b="0"/>
                                  <wp:docPr id="5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wps:txbx>
                      <wps:bodyPr lIns="90000" rIns="90000" tIns="45000" bIns="45000">
                        <a:noAutofit/>
                      </wps:bodyPr>
                    </wps:wsp>
                  </a:graphicData>
                </a:graphic>
              </wp:anchor>
            </w:drawing>
          </mc:Choice>
          <mc:Fallback>
            <w:pict>
              <v:rect id="shape_0" ID="Cadre13" stroked="f" style="position:absolute;margin-left:56.95pt;margin-top:0.05pt;width:339.55pt;height:190.4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2920" cy="2160270"/>
                            <wp:effectExtent l="0" t="0" r="0" b="0"/>
                            <wp:docPr id="5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v:textbox>
              </v:rect>
            </w:pict>
          </mc:Fallback>
        </mc:AlternateContent>
      </w:r>
    </w:p>
    <w:p>
      <w:pPr>
        <w:pStyle w:val="Normal"/>
        <w:rPr/>
      </w:pPr>
      <w:r>
        <w:rPr/>
      </w:r>
    </w:p>
    <w:p>
      <w:pPr>
        <w:pStyle w:val="Normal"/>
        <w:rPr/>
      </w:pPr>
      <w:r>
        <w:rPr/>
        <w:t>Certains de ces drones sont trop lourd pour être utilisé en agglomération et ne peuvent pas couvrir le scénario S3.</w:t>
      </w:r>
    </w:p>
    <w:p>
      <w:pPr>
        <w:pStyle w:val="Normal"/>
        <w:rPr/>
      </w:pPr>
      <w:r>
        <w:rPr/>
      </w:r>
    </w:p>
    <w:p>
      <w:pPr>
        <w:pStyle w:val="Titre4"/>
        <w:rPr/>
      </w:pPr>
      <w:bookmarkStart w:id="73" w:name="__RefHeading___Toc1524_545113008"/>
      <w:bookmarkEnd w:id="73"/>
      <w:r>
        <w:rPr/>
        <w:t>Les multirotors simples</w:t>
      </w:r>
    </w:p>
    <w:p>
      <w:pPr>
        <w:pStyle w:val="Normal"/>
        <w:rPr/>
      </w:pPr>
      <w:r>
        <w:rPr/>
      </w:r>
    </w:p>
    <w:p>
      <w:pPr>
        <w:pStyle w:val="Normal"/>
        <w:rPr/>
      </w:pPr>
      <w:r>
        <w:rPr/>
        <w:t>Les multirotors simples sont moins lourds et moins chers que ceux destinés au levage de charge. Ils embarquent une caméra normale ou caméra thermique. Ils permettent de couvrir le scénario S2, souvent associé à l'inspection agricole ou industriel, à moindre coût que l'utilisation d'un drone à voilure fixe. Ils sont aussi utilisés pour toutes les missions d'inspection dans des environnement non dégagé et leur poids limité leur permet une progression en agglomération.</w:t>
      </w:r>
    </w:p>
    <w:p>
      <w:pPr>
        <w:pStyle w:val="Normal"/>
        <w:rPr/>
      </w:pPr>
      <w:r>
        <w:rPr/>
      </w:r>
    </w:p>
    <w:p>
      <w:pPr>
        <w:pStyle w:val="Normal"/>
        <w:rPr/>
      </w:pPr>
      <w:r>
        <w:rPr/>
      </w:r>
      <w:r>
        <mc:AlternateContent>
          <mc:Choice Requires="wps">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3193415" cy="2242185"/>
                <wp:effectExtent l="0" t="0" r="0" b="0"/>
                <wp:wrapTopAndBottom/>
                <wp:docPr id="55" name="Cadre14"/>
                <a:graphic xmlns:a="http://schemas.openxmlformats.org/drawingml/2006/main">
                  <a:graphicData uri="http://schemas.microsoft.com/office/word/2010/wordprocessingShape">
                    <wps:wsp>
                      <wps:cNvSpPr txBox="1"/>
                      <wps:spPr>
                        <a:xfrm>
                          <a:off x="0" y="0"/>
                          <a:ext cx="3193415" cy="2242185"/>
                        </a:xfrm>
                        <a:prstGeom prst="rect"/>
                      </wps:spPr>
                      <wps:txbx>
                        <w:txbxContent>
                          <w:p>
                            <w:pPr>
                              <w:pStyle w:val="Illustration"/>
                              <w:spacing w:before="120" w:after="120"/>
                              <w:jc w:val="center"/>
                              <w:rPr/>
                            </w:pPr>
                            <w:r>
                              <w:rPr/>
                              <w:drawing>
                                <wp:inline distT="0" distB="0" distL="0" distR="0">
                                  <wp:extent cx="3193415" cy="1800225"/>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dj</w:t>
                            </w:r>
                            <w:r>
                              <w:rPr/>
                              <w:t>i</w:t>
                            </w:r>
                            <w:r>
                              <w:rPr/>
                              <w:t>-matrice-100 personnalisable</w:t>
                            </w:r>
                          </w:p>
                        </w:txbxContent>
                      </wps:txbx>
                      <wps:bodyPr anchor="t" lIns="0" tIns="0" rIns="0" bIns="0">
                        <a:noAutofit/>
                      </wps:bodyPr>
                    </wps:wsp>
                  </a:graphicData>
                </a:graphic>
              </wp:anchor>
            </w:drawing>
          </mc:Choice>
          <mc:Fallback>
            <w:pict>
              <v:rect style="position:absolute;rotation:0;width:251.45pt;height:176.55pt;mso-wrap-distance-left:0pt;mso-wrap-distance-right:0pt;mso-wrap-distance-top:0pt;mso-wrap-distance-bottom:0pt;margin-top:0pt;mso-position-vertical:top;mso-position-vertical-relative:text;margin-left:101.05pt;mso-position-horizontal:center;mso-position-horizontal-relative:text">
                <v:textbox inset="0in,0in,0in,0in">
                  <w:txbxContent>
                    <w:p>
                      <w:pPr>
                        <w:pStyle w:val="Illustration"/>
                        <w:spacing w:before="120" w:after="120"/>
                        <w:jc w:val="center"/>
                        <w:rPr/>
                      </w:pPr>
                      <w:r>
                        <w:rPr/>
                        <w:drawing>
                          <wp:inline distT="0" distB="0" distL="0" distR="0">
                            <wp:extent cx="3193415" cy="1800225"/>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dj</w:t>
                      </w:r>
                      <w:r>
                        <w:rPr/>
                        <w:t>i</w:t>
                      </w:r>
                      <w:r>
                        <w:rPr/>
                        <w:t>-matrice-100 personnalisable</w:t>
                      </w:r>
                    </w:p>
                  </w:txbxContent>
                </v:textbox>
                <w10:wrap type="topAndBottom"/>
              </v:rect>
            </w:pict>
          </mc:Fallback>
        </mc:AlternateContent>
      </w:r>
    </w:p>
    <w:p>
      <w:pPr>
        <w:pStyle w:val="Titre3"/>
        <w:numPr>
          <w:ilvl w:val="2"/>
          <w:numId w:val="4"/>
        </w:numPr>
        <w:rPr/>
      </w:pPr>
      <w:bookmarkStart w:id="74" w:name="__RefHeading___Toc1526_545113008"/>
      <w:bookmarkEnd w:id="74"/>
      <w:r>
        <w:rPr/>
        <w:t>Analyse comparative des différents type de drones :</w:t>
      </w:r>
    </w:p>
    <w:p>
      <w:pPr>
        <w:pStyle w:val="Normal"/>
        <w:rPr/>
      </w:pPr>
      <w:r>
        <w:rPr/>
      </w:r>
    </w:p>
    <w:p>
      <w:pPr>
        <w:pStyle w:val="Normal"/>
        <w:rPr/>
      </w:pPr>
      <w:r>
        <w:rPr/>
        <w:t>Un type de drone n’est jamais dévolu à un type d’application en particulier. Le choix d’un drone va être fait en fonction du travail qu’il va effectuer mais aussi et surtout en fonction du cadre spécifique à la mission. Le diagramme ci-dessous tente de déterminer quel type de drone devra être choisi en fonction des caractéristiques requises pour une mission en particulier et en fonction des utilisations qui en sont déjà fait. Par exemple, les drones porteurs peuvent aussi bien être conduit par de la programmation de vol et couvrir le scénario S2 que les autres . Néanmoins cette configuration est marginale et ne représente que des cas très particuliers.</w:t>
      </w:r>
    </w:p>
    <w:p>
      <w:pPr>
        <w:pStyle w:val="Normal"/>
        <w:rPr/>
      </w:pPr>
      <w:r>
        <w:rPr/>
      </w:r>
    </w:p>
    <w:p>
      <w:pPr>
        <w:pStyle w:val="Normal"/>
        <w:rPr/>
      </w:pPr>
      <w:r>
        <w:rPr/>
      </w:r>
      <w:r>
        <mc:AlternateContent>
          <mc:Choice Requires="wps">
            <w:drawing>
              <wp:inline distT="0" distB="0" distL="0" distR="0">
                <wp:extent cx="5759450" cy="3498850"/>
                <wp:effectExtent l="0" t="0" r="0" b="0"/>
                <wp:docPr id="58" name="Cadre16"/>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59"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br/>
                              <w:t xml:space="preserve">Illustration </w:t>
                            </w:r>
                            <w:r>
                              <w:rPr/>
                              <w:fldChar w:fldCharType="begin"/>
                            </w:r>
                            <w:r>
                              <w:instrText> SEQ Illustration \* ARABIC </w:instrText>
                            </w:r>
                            <w:r>
                              <w:fldChar w:fldCharType="separate"/>
                            </w:r>
                            <w:r>
                              <w:t>16</w:t>
                            </w:r>
                            <w:r>
                              <w:fldChar w:fldCharType="end"/>
                            </w:r>
                            <w:r>
                              <w:rPr/>
                              <w:t>: Analyse comparée des types de drones</w:t>
                            </w:r>
                          </w:p>
                        </w:txbxContent>
                      </wps:txbx>
                      <wps:bodyPr anchor="t" lIns="0" tIns="0" rIns="0" bIns="0">
                        <a:noAutofit/>
                      </wps:bodyPr>
                    </wps:wsp>
                  </a:graphicData>
                </a:graphic>
              </wp:inline>
            </w:drawing>
          </mc:Choice>
          <mc:Fallback>
            <w:pict>
              <v:rect style="position:absolute;rotation:0;width:453.5pt;height:275.5pt;mso-wrap-distance-left:0pt;mso-wrap-distance-right:0pt;mso-wrap-distance-top:0pt;mso-wrap-distance-bottom:0pt;margin-top:-275.5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60"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br/>
                        <w:t xml:space="preserve">Illustration </w:t>
                      </w:r>
                      <w:r>
                        <w:rPr/>
                        <w:fldChar w:fldCharType="begin"/>
                      </w:r>
                      <w:r>
                        <w:instrText> SEQ Illustration \* ARABIC </w:instrText>
                      </w:r>
                      <w:r>
                        <w:fldChar w:fldCharType="separate"/>
                      </w:r>
                      <w:r>
                        <w:t>16</w:t>
                      </w:r>
                      <w:r>
                        <w:fldChar w:fldCharType="end"/>
                      </w:r>
                      <w:r>
                        <w:rPr/>
                        <w:t>: Analyse comparée des types de drones</w:t>
                      </w:r>
                    </w:p>
                  </w:txbxContent>
                </v:textbox>
                <w10:wrap type="square" side="largest"/>
              </v:rect>
            </w:pict>
          </mc:Fallback>
        </mc:AlternateContent>
      </w:r>
    </w:p>
    <w:p>
      <w:pPr>
        <w:pStyle w:val="Normal"/>
        <w:rPr/>
      </w:pPr>
      <w:r>
        <w:rPr/>
      </w:r>
    </w:p>
    <w:p>
      <w:pPr>
        <w:pStyle w:val="Titre1"/>
        <w:keepNext/>
        <w:numPr>
          <w:ilvl w:val="0"/>
          <w:numId w:val="4"/>
        </w:numPr>
        <w:jc w:val="left"/>
        <w:outlineLvl w:val="0"/>
        <w:rPr/>
      </w:pPr>
      <w:bookmarkStart w:id="75" w:name="__RefHeading___Toc5298_1585429884"/>
      <w:bookmarkEnd w:id="75"/>
      <w:r>
        <w:rPr/>
        <w:t>Les drones de demain</w:t>
      </w:r>
    </w:p>
    <w:p>
      <w:pPr>
        <w:pStyle w:val="Titre2"/>
        <w:numPr>
          <w:ilvl w:val="1"/>
          <w:numId w:val="4"/>
        </w:numPr>
        <w:rPr/>
      </w:pPr>
      <w:bookmarkStart w:id="76" w:name="__RefHeading___Toc5300_1585429884"/>
      <w:bookmarkEnd w:id="76"/>
      <w:r>
        <w:rPr/>
        <w:t>Les technologies en développement</w:t>
      </w:r>
    </w:p>
    <w:p>
      <w:pPr>
        <w:pStyle w:val="Normal"/>
        <w:rPr/>
      </w:pPr>
      <w:r>
        <w:rPr/>
      </w:r>
    </w:p>
    <w:p>
      <w:pPr>
        <w:pStyle w:val="Titre3"/>
        <w:numPr>
          <w:ilvl w:val="2"/>
          <w:numId w:val="4"/>
        </w:numPr>
        <w:rPr/>
      </w:pPr>
      <w:bookmarkStart w:id="77" w:name="__RefHeading___Toc5302_1585429884"/>
      <w:bookmarkEnd w:id="77"/>
      <w:r>
        <w:rPr/>
        <w:t>La 5G et l’IOT</w:t>
      </w:r>
    </w:p>
    <w:p>
      <w:pPr>
        <w:pStyle w:val="Normal"/>
        <w:rPr/>
      </w:pPr>
      <w:r>
        <w:rPr/>
      </w:r>
    </w:p>
    <w:p>
      <w:pPr>
        <w:pStyle w:val="Normal"/>
        <w:rPr/>
      </w:pPr>
      <w:r>
        <w:rPr/>
        <w:t xml:space="preserve">Comme il l’a été mentionné lors de la description des différents systèmes de transmissions, plusieurs constructeurs sont actuellement en train de finaliser le développement et les tests de systèmes de drones entièrement basés sur le réseaux 4G. A terme, l’intérêt pour les constructeur de migrer vers ce mode de transmission </w:t>
      </w:r>
      <w:r>
        <w:rPr/>
        <w:t>n’est pas seulement d’étendre la portée du drone. C’</w:t>
      </w:r>
      <w:r>
        <w:rPr/>
        <w:t xml:space="preserve">est </w:t>
      </w:r>
      <w:r>
        <w:rPr/>
        <w:t xml:space="preserve">aussi </w:t>
      </w:r>
      <w:r>
        <w:rPr/>
        <w:t>d’intégrer les drones dans un réseau beaucoup plus large afin de constituer un système de drones qui soit étendu et non plus localisé.</w:t>
      </w:r>
    </w:p>
    <w:p>
      <w:pPr>
        <w:pStyle w:val="Normal"/>
        <w:rPr/>
      </w:pPr>
      <w:r>
        <w:rPr/>
      </w:r>
    </w:p>
    <w:p>
      <w:pPr>
        <w:pStyle w:val="Normal"/>
        <w:rPr/>
      </w:pPr>
      <w:r>
        <w:rPr/>
        <w:t xml:space="preserve">Le drone a vocation a devenir un capteur mobile qui envoie ses données sur un cloud privé ou public, afin qu’elles soient disponibles en temps réel et sans limite géographique. Ces types d’objets sont appelés des « objets connectés » </w:t>
      </w:r>
      <w:r>
        <w:rPr/>
        <w:t xml:space="preserve">et </w:t>
      </w:r>
      <w:r>
        <w:rPr/>
        <w:t>tisse</w:t>
      </w:r>
      <w:r>
        <w:rPr/>
        <w:t>nt</w:t>
      </w:r>
      <w:r>
        <w:rPr/>
        <w:t xml:space="preserve"> la trame d’un réseau appelé « l’</w:t>
      </w:r>
      <w:r>
        <w:rPr/>
        <w:t>i</w:t>
      </w:r>
      <w:r>
        <w:rPr/>
        <w:t xml:space="preserve">nternet des objets ». </w:t>
      </w:r>
      <w:r>
        <w:rPr/>
        <w:t>Le terme anglais</w:t>
      </w:r>
      <w:r>
        <w:rPr/>
        <w:t xml:space="preserve"> est « Internet Of Things », </w:t>
      </w:r>
      <w:r>
        <w:rPr/>
        <w:t>ou plus communément</w:t>
      </w:r>
      <w:r>
        <w:rPr/>
        <w:t xml:space="preserve"> « IOT ». </w:t>
      </w:r>
      <w:r>
        <w:rPr/>
        <w:t>Pour le moment, l’IOT est construit sur des réseaux indépendants du réseau téléphonique mais l’arrivée imminente de la 5G (prévue pour 2020) va l’intégrer dans son architecture en lui réservant des canaux lui assurant un haut niveau de qualité de service.</w:t>
      </w:r>
    </w:p>
    <w:p>
      <w:pPr>
        <w:pStyle w:val="Normal"/>
        <w:rPr/>
      </w:pPr>
      <w:r>
        <w:rPr/>
      </w:r>
    </w:p>
    <w:p>
      <w:pPr>
        <w:pStyle w:val="Normal"/>
        <w:rPr/>
      </w:pPr>
      <w:r>
        <w:rPr/>
        <w:t>A en croire un article publié par « www.droneanalyst.com »</w:t>
      </w:r>
      <w:r>
        <w:rPr>
          <w:rStyle w:val="Ancredenotedebasdepage"/>
        </w:rPr>
        <w:footnoteReference w:id="32"/>
      </w:r>
      <w:r>
        <w:rPr/>
        <w:t>, l’architecture d’un tel système serait basée sur ce que l’on appelle le « fog computing » ou « i</w:t>
      </w:r>
      <w:r>
        <w:rPr>
          <w:i/>
        </w:rPr>
        <w:t xml:space="preserve">nformatique géodistribuée ». </w:t>
      </w:r>
      <w:r>
        <w:rPr>
          <w:i w:val="false"/>
          <w:iCs w:val="false"/>
        </w:rPr>
        <w:t xml:space="preserve">Le principe serait que les drones ne publieraient pas directement leurs données sur le cloud car cela poserait des problèmes de sécurité et de congestion. Les drones communiqueraient via le réseau téléphonique </w:t>
      </w:r>
      <w:r>
        <w:rPr>
          <w:i w:val="false"/>
          <w:iCs w:val="false"/>
        </w:rPr>
        <w:t>avec</w:t>
      </w:r>
      <w:r>
        <w:rPr>
          <w:i w:val="false"/>
          <w:iCs w:val="false"/>
        </w:rPr>
        <w:t xml:space="preserve"> des stations de calcul dédiées et situées à proximité. Ces stations seraient en charge </w:t>
      </w:r>
      <w:r>
        <w:rPr>
          <w:i w:val="false"/>
          <w:iCs w:val="false"/>
        </w:rPr>
        <w:t>d</w:t>
      </w:r>
      <w:r>
        <w:rPr>
          <w:i w:val="false"/>
          <w:iCs w:val="false"/>
        </w:rPr>
        <w:t xml:space="preserve">e l’analyse, du traitement et de la publication des données sur le cloud. Elles isoleraient les drones du réseau internet et </w:t>
      </w:r>
      <w:r>
        <w:rPr>
          <w:i w:val="false"/>
          <w:iCs w:val="false"/>
        </w:rPr>
        <w:t>éviterait la congestion de celui ci.</w:t>
      </w:r>
    </w:p>
    <w:p>
      <w:pPr>
        <w:pStyle w:val="Normal"/>
        <w:rPr>
          <w:i w:val="false"/>
          <w:i w:val="false"/>
          <w:iCs w:val="false"/>
        </w:rPr>
      </w:pPr>
      <w:r>
        <w:rPr/>
      </w:r>
    </w:p>
    <w:p>
      <w:pPr>
        <w:pStyle w:val="Normal"/>
        <w:rPr/>
      </w:pPr>
      <w:r>
        <w:rPr>
          <w:i w:val="false"/>
          <w:iCs w:val="false"/>
        </w:rPr>
        <w:t>L</w:t>
      </w:r>
      <w:r>
        <w:rPr>
          <w:i w:val="false"/>
          <w:iCs w:val="false"/>
        </w:rPr>
        <w:t>e réseau téléphonique permettrait d’accéder aux données publiées par le drone sans limite géographique mais également de pouvoir lui envoyer des programmes de vol depuis n’importe quel poste. On trouve déjà des mentions du concept de «</w:t>
      </w:r>
      <w:r>
        <w:rPr>
          <w:i w:val="false"/>
          <w:iCs w:val="false"/>
        </w:rPr>
        <w:t>UAV as a Service (UAVaaS)</w:t>
      </w:r>
      <w:r>
        <w:rPr>
          <w:i w:val="false"/>
          <w:iCs w:val="false"/>
        </w:rPr>
        <w:t>» par analogie aux différents types de services fournit par le cloud. Un tel service proposerait de piloter une flotte de drones située à l’autre bout du monde depuis son poste de travail et d’en récolter les données directement sur le cloud.</w:t>
      </w:r>
    </w:p>
    <w:p>
      <w:pPr>
        <w:pStyle w:val="Normal"/>
        <w:rPr>
          <w:i w:val="false"/>
          <w:i w:val="false"/>
          <w:iCs w:val="false"/>
        </w:rPr>
      </w:pPr>
      <w:r>
        <w:rPr/>
      </w:r>
    </w:p>
    <w:p>
      <w:pPr>
        <w:pStyle w:val="Titre3"/>
        <w:numPr>
          <w:ilvl w:val="2"/>
          <w:numId w:val="4"/>
        </w:numPr>
        <w:rPr/>
      </w:pPr>
      <w:r>
        <w:rPr>
          <w:i w:val="false"/>
          <w:iCs w:val="false"/>
        </w:rPr>
        <w:t>I</w:t>
      </w:r>
      <w:r>
        <w:rPr>
          <w:i w:val="false"/>
          <w:iCs w:val="false"/>
        </w:rPr>
        <w:t xml:space="preserve">ntelligence artificielle </w:t>
      </w:r>
      <w:r>
        <w:rPr>
          <w:i w:val="false"/>
          <w:iCs w:val="false"/>
        </w:rPr>
        <w:t>et essaims de drone</w:t>
      </w:r>
    </w:p>
    <w:p>
      <w:pPr>
        <w:pStyle w:val="Normal"/>
        <w:rPr/>
      </w:pPr>
      <w:r>
        <w:rPr/>
      </w:r>
    </w:p>
    <w:p>
      <w:pPr>
        <w:pStyle w:val="Normal"/>
        <w:rPr/>
      </w:pPr>
      <w:r>
        <w:rPr/>
        <w:t xml:space="preserve">Deux conférences « TED » données par le professeur des systèmes dynamiques </w:t>
      </w:r>
      <w:r>
        <w:rPr>
          <w:b w:val="false"/>
          <w:bCs w:val="false"/>
        </w:rPr>
        <w:t xml:space="preserve">Raffaello D’Andrea, </w:t>
      </w:r>
      <w:r>
        <w:rPr>
          <w:b w:val="false"/>
          <w:bCs w:val="false"/>
        </w:rPr>
        <w:t>font la présentation de deux principes appliqués aux drones et laissent apparaître une bonne idée de leur potentiel.</w:t>
      </w:r>
    </w:p>
    <w:p>
      <w:pPr>
        <w:pStyle w:val="Normal"/>
        <w:rPr>
          <w:i w:val="false"/>
          <w:i w:val="false"/>
          <w:iCs w:val="false"/>
        </w:rPr>
      </w:pPr>
      <w:r>
        <w:rPr/>
      </w:r>
    </w:p>
    <w:p>
      <w:pPr>
        <w:pStyle w:val="Titre2"/>
        <w:numPr>
          <w:ilvl w:val="1"/>
          <w:numId w:val="4"/>
        </w:numPr>
        <w:rPr/>
      </w:pPr>
      <w:r>
        <w:rPr/>
        <w:t xml:space="preserve">Des </w:t>
      </w:r>
      <w:r>
        <w:rPr/>
        <w:t>limites législatives</w:t>
      </w:r>
    </w:p>
    <w:p>
      <w:pPr>
        <w:pStyle w:val="Titre2"/>
        <w:numPr>
          <w:ilvl w:val="1"/>
          <w:numId w:val="4"/>
        </w:numPr>
        <w:rPr/>
      </w:pPr>
      <w:bookmarkStart w:id="78" w:name="__RefHeading___Toc5310_1585429884"/>
      <w:bookmarkEnd w:id="78"/>
      <w:r>
        <w:rPr/>
        <w:t>Les enjeux sociétaux</w:t>
      </w:r>
    </w:p>
    <w:p>
      <w:pPr>
        <w:pStyle w:val="Normal"/>
        <w:rPr/>
      </w:pPr>
      <w:r>
        <w:rPr/>
      </w:r>
      <w:r>
        <w:br w:type="page"/>
      </w:r>
    </w:p>
    <w:p>
      <w:pPr>
        <w:pStyle w:val="Titreprincipal"/>
        <w:rPr/>
      </w:pPr>
      <w:bookmarkStart w:id="79" w:name="__RefHeading___Toc4550_1585429884"/>
      <w:bookmarkEnd w:id="79"/>
      <w:r>
        <w:rPr/>
        <w:t>TABLE DES ANNEXES</w:t>
      </w:r>
    </w:p>
    <w:p>
      <w:pPr>
        <w:pStyle w:val="Normal"/>
        <w:rPr/>
      </w:pPr>
      <w:r>
        <w:rPr/>
      </w:r>
      <w:r>
        <w:br w:type="page"/>
      </w:r>
    </w:p>
    <w:p>
      <w:pPr>
        <w:pStyle w:val="Titreprincipal"/>
        <w:spacing w:before="240" w:after="120"/>
        <w:rPr/>
      </w:pPr>
      <w:bookmarkStart w:id="80" w:name="__RefHeading___Toc4552_1585429884"/>
      <w:bookmarkEnd w:id="80"/>
      <w:r>
        <w:rPr/>
        <w:t>TABLES DES MATIÈRES</w:t>
      </w:r>
    </w:p>
    <w:sectPr>
      <w:headerReference w:type="default" r:id="rId20"/>
      <w:footerReference w:type="default" r:id="rId21"/>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40</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r>
      <w:r>
        <w:rPr/>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r>
      <w:r>
        <w:rPr/>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r>
      <w:r>
        <w:rPr/>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r>
      <w:r>
        <w:rPr/>
        <w:t xml:space="preserve">AETOS Cluster Drone : </w:t>
      </w:r>
      <w:hyperlink r:id="rId5">
        <w:r>
          <w:rPr>
            <w:rStyle w:val="LienInternet"/>
          </w:rPr>
          <w:t>http://www.aetos-aquitaine.fr/p1-2-10-reglementation.html</w:t>
        </w:r>
      </w:hyperlink>
    </w:p>
  </w:footnote>
  <w:footnote w:id="9">
    <w:p>
      <w:pPr>
        <w:pStyle w:val="Notedebasdepage"/>
        <w:rPr/>
      </w:pPr>
      <w:r>
        <w:rPr/>
        <w:footnoteRef/>
        <w:tab/>
      </w:r>
      <w:r>
        <w:rPr/>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r>
      <w:r>
        <w:rPr/>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r>
      <w:r>
        <w:rPr/>
        <w:t xml:space="preserve">Résumé de l’étude Gartner : </w:t>
      </w:r>
      <w:hyperlink r:id="rId8">
        <w:r>
          <w:rPr>
            <w:rStyle w:val="LienInternet"/>
          </w:rPr>
          <w:t>http://www.gartner.com/newsroom/id/3602317</w:t>
        </w:r>
      </w:hyperlink>
    </w:p>
  </w:footnote>
  <w:footnote w:id="12">
    <w:p>
      <w:pPr>
        <w:pStyle w:val="Notedebasdepage"/>
        <w:rPr/>
      </w:pPr>
      <w:r>
        <w:rPr/>
        <w:footnoteRef/>
        <w:tab/>
      </w:r>
      <w:r>
        <w:rPr/>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r>
      <w:r>
        <w:rPr/>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 w:id="32">
    <w:p>
      <w:pPr>
        <w:pStyle w:val="Notedebasdepage"/>
        <w:rPr/>
      </w:pPr>
      <w:r>
        <w:rPr/>
        <w:footnoteRef/>
        <w:tab/>
        <w:t xml:space="preserve">Why drones are the future of IOT : </w:t>
      </w:r>
      <w:hyperlink r:id="rId17">
        <w:r>
          <w:rPr>
            <w:rStyle w:val="LienInternet"/>
          </w:rPr>
          <w:t>http://droneanalyst.com/2014/12/01/drones-are-the-future-of-iot/</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6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283"/>
        </w:tabs>
        <w:ind w:left="283" w:hanging="283"/>
      </w:pPr>
      <w:rPr/>
    </w:lvl>
    <w:lvl w:ilvl="1">
      <w:start w:val="1"/>
      <w:numFmt w:val="decimal"/>
      <w:lvlText w:val="%2."/>
      <w:lvlJc w:val="left"/>
      <w:pPr>
        <w:tabs>
          <w:tab w:val="num" w:pos="567"/>
        </w:tabs>
        <w:ind w:left="567" w:hanging="283"/>
      </w:pPr>
      <w:rPr/>
    </w:lvl>
    <w:lvl w:ilvl="2">
      <w:start w:val="1"/>
      <w:numFmt w:val="decimal"/>
      <w:lvlText w:val="%3."/>
      <w:lvlJc w:val="left"/>
      <w:pPr>
        <w:tabs>
          <w:tab w:val="num" w:pos="850"/>
        </w:tabs>
        <w:ind w:left="850" w:hanging="283"/>
      </w:pPr>
      <w:rPr/>
    </w:lvl>
    <w:lvl w:ilvl="3">
      <w:start w:val="1"/>
      <w:numFmt w:val="decimal"/>
      <w:lvlText w:val="%4."/>
      <w:lvlJc w:val="left"/>
      <w:pPr>
        <w:tabs>
          <w:tab w:val="num" w:pos="1134"/>
        </w:tabs>
        <w:ind w:left="1134" w:hanging="283"/>
      </w:pPr>
      <w:rPr/>
    </w:lvl>
    <w:lvl w:ilvl="4">
      <w:start w:val="1"/>
      <w:numFmt w:val="decimal"/>
      <w:lvlText w:val="%5."/>
      <w:lvlJc w:val="left"/>
      <w:pPr>
        <w:tabs>
          <w:tab w:val="num" w:pos="1417"/>
        </w:tabs>
        <w:ind w:left="1417" w:hanging="283"/>
      </w:pPr>
      <w:rPr/>
    </w:lvl>
    <w:lvl w:ilvl="5">
      <w:start w:val="1"/>
      <w:numFmt w:val="decimal"/>
      <w:lvlText w:val="%6."/>
      <w:lvlJc w:val="left"/>
      <w:pPr>
        <w:tabs>
          <w:tab w:val="num" w:pos="1701"/>
        </w:tabs>
        <w:ind w:left="1701" w:hanging="283"/>
      </w:pPr>
      <w:rPr/>
    </w:lvl>
    <w:lvl w:ilvl="6">
      <w:start w:val="1"/>
      <w:numFmt w:val="decimal"/>
      <w:lvlText w:val="%7."/>
      <w:lvlJc w:val="left"/>
      <w:pPr>
        <w:tabs>
          <w:tab w:val="num" w:pos="1984"/>
        </w:tabs>
        <w:ind w:left="1984" w:hanging="283"/>
      </w:pPr>
      <w:rPr/>
    </w:lvl>
    <w:lvl w:ilvl="7">
      <w:start w:val="1"/>
      <w:numFmt w:val="decimal"/>
      <w:lvlText w:val="%8."/>
      <w:lvlJc w:val="left"/>
      <w:pPr>
        <w:tabs>
          <w:tab w:val="num" w:pos="2268"/>
        </w:tabs>
        <w:ind w:left="2268" w:hanging="283"/>
      </w:pPr>
      <w:rPr/>
    </w:lvl>
    <w:lvl w:ilvl="8">
      <w:start w:val="1"/>
      <w:numFmt w:val="decimal"/>
      <w:lvlText w:val="%9."/>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tarSymbol;Arial Unicode MS"/>
      <w:sz w:val="18"/>
      <w:szCs w:val="18"/>
    </w:rPr>
  </w:style>
  <w:style w:type="character" w:styleId="ListLabel92">
    <w:name w:val="ListLabel 92"/>
    <w:qFormat/>
    <w:rPr>
      <w:rFonts w:cs="StarSymbol;Arial Unicode MS"/>
      <w:sz w:val="18"/>
      <w:szCs w:val="18"/>
    </w:rPr>
  </w:style>
  <w:style w:type="character" w:styleId="ListLabel93">
    <w:name w:val="ListLabel 93"/>
    <w:qFormat/>
    <w:rPr>
      <w:rFonts w:cs="StarSymbol;Arial Unicode MS"/>
      <w:sz w:val="18"/>
      <w:szCs w:val="18"/>
    </w:rPr>
  </w:style>
  <w:style w:type="character" w:styleId="ListLabel94">
    <w:name w:val="ListLabel 94"/>
    <w:qFormat/>
    <w:rPr>
      <w:rFonts w:cs="StarSymbol;Arial Unicode MS"/>
      <w:sz w:val="18"/>
      <w:szCs w:val="18"/>
    </w:rPr>
  </w:style>
  <w:style w:type="character" w:styleId="ListLabel95">
    <w:name w:val="ListLabel 95"/>
    <w:qFormat/>
    <w:rPr>
      <w:rFonts w:cs="StarSymbol;Arial Unicode MS"/>
      <w:sz w:val="18"/>
      <w:szCs w:val="18"/>
    </w:rPr>
  </w:style>
  <w:style w:type="character" w:styleId="ListLabel96">
    <w:name w:val="ListLabel 96"/>
    <w:qFormat/>
    <w:rPr>
      <w:rFonts w:cs="StarSymbol;Arial Unicode MS"/>
      <w:sz w:val="18"/>
      <w:szCs w:val="18"/>
    </w:rPr>
  </w:style>
  <w:style w:type="character" w:styleId="ListLabel97">
    <w:name w:val="ListLabel 97"/>
    <w:qFormat/>
    <w:rPr>
      <w:rFonts w:cs="StarSymbol;Arial Unicode MS"/>
      <w:sz w:val="18"/>
      <w:szCs w:val="18"/>
    </w:rPr>
  </w:style>
  <w:style w:type="character" w:styleId="ListLabel98">
    <w:name w:val="ListLabel 98"/>
    <w:qFormat/>
    <w:rPr>
      <w:rFonts w:cs="StarSymbol;Arial Unicode MS"/>
      <w:sz w:val="18"/>
      <w:szCs w:val="18"/>
    </w:rPr>
  </w:style>
  <w:style w:type="character" w:styleId="ListLabel99">
    <w:name w:val="ListLabel 99"/>
    <w:qFormat/>
    <w:rPr>
      <w:rFonts w:cs="StarSymbol;Arial Unicode MS"/>
      <w:sz w:val="18"/>
      <w:szCs w:val="18"/>
    </w:rPr>
  </w:style>
  <w:style w:type="character" w:styleId="ListLabel100">
    <w:name w:val="ListLabel 100"/>
    <w:qFormat/>
    <w:rPr>
      <w:rFonts w:cs="StarSymbol;Arial Unicode MS"/>
      <w:sz w:val="18"/>
      <w:szCs w:val="18"/>
    </w:rPr>
  </w:style>
  <w:style w:type="character" w:styleId="ListLabel101">
    <w:name w:val="ListLabel 101"/>
    <w:qFormat/>
    <w:rPr>
      <w:rFonts w:cs="StarSymbol;Arial Unicode MS"/>
      <w:sz w:val="18"/>
      <w:szCs w:val="18"/>
    </w:rPr>
  </w:style>
  <w:style w:type="character" w:styleId="ListLabel102">
    <w:name w:val="ListLabel 102"/>
    <w:qFormat/>
    <w:rPr>
      <w:rFonts w:cs="StarSymbol;Arial Unicode MS"/>
      <w:sz w:val="18"/>
      <w:szCs w:val="18"/>
    </w:rPr>
  </w:style>
  <w:style w:type="character" w:styleId="ListLabel103">
    <w:name w:val="ListLabel 103"/>
    <w:qFormat/>
    <w:rPr>
      <w:rFonts w:cs="StarSymbol;Arial Unicode MS"/>
      <w:sz w:val="18"/>
      <w:szCs w:val="18"/>
    </w:rPr>
  </w:style>
  <w:style w:type="character" w:styleId="ListLabel104">
    <w:name w:val="ListLabel 104"/>
    <w:qFormat/>
    <w:rPr>
      <w:rFonts w:cs="StarSymbol;Arial Unicode MS"/>
      <w:sz w:val="18"/>
      <w:szCs w:val="18"/>
    </w:rPr>
  </w:style>
  <w:style w:type="character" w:styleId="ListLabel105">
    <w:name w:val="ListLabel 105"/>
    <w:qFormat/>
    <w:rPr>
      <w:rFonts w:cs="StarSymbol;Arial Unicode MS"/>
      <w:sz w:val="18"/>
      <w:szCs w:val="18"/>
    </w:rPr>
  </w:style>
  <w:style w:type="character" w:styleId="ListLabel106">
    <w:name w:val="ListLabel 106"/>
    <w:qFormat/>
    <w:rPr>
      <w:rFonts w:cs="StarSymbol;Arial Unicode MS"/>
      <w:sz w:val="18"/>
      <w:szCs w:val="18"/>
    </w:rPr>
  </w:style>
  <w:style w:type="character" w:styleId="ListLabel107">
    <w:name w:val="ListLabel 107"/>
    <w:qFormat/>
    <w:rPr>
      <w:rFonts w:cs="StarSymbol;Arial Unicode MS"/>
      <w:sz w:val="18"/>
      <w:szCs w:val="18"/>
    </w:rPr>
  </w:style>
  <w:style w:type="character" w:styleId="ListLabel108">
    <w:name w:val="ListLabel 108"/>
    <w:qFormat/>
    <w:rPr>
      <w:rFonts w:cs="StarSymbol;Arial Unicode MS"/>
      <w:sz w:val="18"/>
      <w:szCs w:val="18"/>
    </w:rPr>
  </w:style>
  <w:style w:type="character" w:styleId="ListLabel109">
    <w:name w:val="ListLabel 109"/>
    <w:qFormat/>
    <w:rPr>
      <w:rFonts w:cs="StarSymbol;Arial Unicode MS"/>
      <w:sz w:val="18"/>
      <w:szCs w:val="18"/>
    </w:rPr>
  </w:style>
  <w:style w:type="character" w:styleId="ListLabel110">
    <w:name w:val="ListLabel 110"/>
    <w:qFormat/>
    <w:rPr>
      <w:rFonts w:cs="StarSymbol;Arial Unicode MS"/>
      <w:sz w:val="18"/>
      <w:szCs w:val="18"/>
    </w:rPr>
  </w:style>
  <w:style w:type="character" w:styleId="ListLabel111">
    <w:name w:val="ListLabel 111"/>
    <w:qFormat/>
    <w:rPr>
      <w:rFonts w:cs="StarSymbol;Arial Unicode MS"/>
      <w:sz w:val="18"/>
      <w:szCs w:val="18"/>
    </w:rPr>
  </w:style>
  <w:style w:type="character" w:styleId="ListLabel112">
    <w:name w:val="ListLabel 112"/>
    <w:qFormat/>
    <w:rPr>
      <w:rFonts w:cs="StarSymbol;Arial Unicode MS"/>
      <w:sz w:val="18"/>
      <w:szCs w:val="18"/>
    </w:rPr>
  </w:style>
  <w:style w:type="character" w:styleId="ListLabel113">
    <w:name w:val="ListLabel 113"/>
    <w:qFormat/>
    <w:rPr>
      <w:rFonts w:cs="StarSymbol;Arial Unicode MS"/>
      <w:sz w:val="18"/>
      <w:szCs w:val="18"/>
    </w:rPr>
  </w:style>
  <w:style w:type="character" w:styleId="ListLabel114">
    <w:name w:val="ListLabel 114"/>
    <w:qFormat/>
    <w:rPr>
      <w:rFonts w:cs="StarSymbol;Arial Unicode MS"/>
      <w:sz w:val="18"/>
      <w:szCs w:val="18"/>
    </w:rPr>
  </w:style>
  <w:style w:type="character" w:styleId="ListLabel115">
    <w:name w:val="ListLabel 115"/>
    <w:qFormat/>
    <w:rPr>
      <w:rFonts w:cs="StarSymbol;Arial Unicode MS"/>
      <w:sz w:val="18"/>
      <w:szCs w:val="18"/>
    </w:rPr>
  </w:style>
  <w:style w:type="character" w:styleId="ListLabel116">
    <w:name w:val="ListLabel 116"/>
    <w:qFormat/>
    <w:rPr>
      <w:rFonts w:cs="StarSymbol;Arial Unicode MS"/>
      <w:sz w:val="18"/>
      <w:szCs w:val="18"/>
    </w:rPr>
  </w:style>
  <w:style w:type="character" w:styleId="ListLabel117">
    <w:name w:val="ListLabel 117"/>
    <w:qFormat/>
    <w:rPr>
      <w:rFonts w:cs="StarSymbol;Arial Unicode MS"/>
      <w:sz w:val="18"/>
      <w:szCs w:val="18"/>
    </w:rPr>
  </w:style>
  <w:style w:type="character" w:styleId="ListLabel118">
    <w:name w:val="ListLabel 118"/>
    <w:qFormat/>
    <w:rPr>
      <w:rFonts w:cs="StarSymbol;Arial Unicode MS"/>
      <w:sz w:val="18"/>
      <w:szCs w:val="18"/>
    </w:rPr>
  </w:style>
  <w:style w:type="character" w:styleId="ListLabel119">
    <w:name w:val="ListLabel 119"/>
    <w:qFormat/>
    <w:rPr>
      <w:rFonts w:cs="StarSymbol;Arial Unicode MS"/>
      <w:sz w:val="18"/>
      <w:szCs w:val="18"/>
    </w:rPr>
  </w:style>
  <w:style w:type="character" w:styleId="ListLabel120">
    <w:name w:val="ListLabel 120"/>
    <w:qFormat/>
    <w:rPr>
      <w:rFonts w:cs="StarSymbol;Arial Unicode MS"/>
      <w:sz w:val="18"/>
      <w:szCs w:val="18"/>
    </w:rPr>
  </w:style>
  <w:style w:type="character" w:styleId="ListLabel121">
    <w:name w:val="ListLabel 121"/>
    <w:qFormat/>
    <w:rPr>
      <w:rFonts w:cs="StarSymbol;Arial Unicode MS"/>
      <w:sz w:val="18"/>
      <w:szCs w:val="18"/>
    </w:rPr>
  </w:style>
  <w:style w:type="character" w:styleId="ListLabel122">
    <w:name w:val="ListLabel 122"/>
    <w:qFormat/>
    <w:rPr>
      <w:rFonts w:cs="StarSymbol;Arial Unicode MS"/>
      <w:sz w:val="18"/>
      <w:szCs w:val="18"/>
    </w:rPr>
  </w:style>
  <w:style w:type="character" w:styleId="ListLabel123">
    <w:name w:val="ListLabel 123"/>
    <w:qFormat/>
    <w:rPr>
      <w:rFonts w:cs="StarSymbol;Arial Unicode MS"/>
      <w:sz w:val="18"/>
      <w:szCs w:val="18"/>
    </w:rPr>
  </w:style>
  <w:style w:type="character" w:styleId="ListLabel124">
    <w:name w:val="ListLabel 124"/>
    <w:qFormat/>
    <w:rPr>
      <w:rFonts w:cs="StarSymbol;Arial Unicode MS"/>
      <w:sz w:val="18"/>
      <w:szCs w:val="18"/>
    </w:rPr>
  </w:style>
  <w:style w:type="character" w:styleId="ListLabel125">
    <w:name w:val="ListLabel 125"/>
    <w:qFormat/>
    <w:rPr>
      <w:rFonts w:cs="StarSymbol;Arial Unicode MS"/>
      <w:sz w:val="18"/>
      <w:szCs w:val="18"/>
    </w:rPr>
  </w:style>
  <w:style w:type="character" w:styleId="ListLabel126">
    <w:name w:val="ListLabel 126"/>
    <w:qFormat/>
    <w:rPr>
      <w:rFonts w:cs="StarSymbol;Arial Unicode MS"/>
      <w:sz w:val="18"/>
      <w:szCs w:val="18"/>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tarSymbol;Arial Unicode MS"/>
      <w:sz w:val="18"/>
      <w:szCs w:val="18"/>
    </w:rPr>
  </w:style>
  <w:style w:type="character" w:styleId="ListLabel164">
    <w:name w:val="ListLabel 164"/>
    <w:qFormat/>
    <w:rPr>
      <w:rFonts w:cs="StarSymbol;Arial Unicode MS"/>
      <w:sz w:val="18"/>
      <w:szCs w:val="18"/>
    </w:rPr>
  </w:style>
  <w:style w:type="character" w:styleId="ListLabel165">
    <w:name w:val="ListLabel 165"/>
    <w:qFormat/>
    <w:rPr>
      <w:rFonts w:cs="StarSymbol;Arial Unicode MS"/>
      <w:sz w:val="18"/>
      <w:szCs w:val="18"/>
    </w:rPr>
  </w:style>
  <w:style w:type="character" w:styleId="ListLabel166">
    <w:name w:val="ListLabel 166"/>
    <w:qFormat/>
    <w:rPr>
      <w:rFonts w:cs="StarSymbol;Arial Unicode MS"/>
      <w:sz w:val="18"/>
      <w:szCs w:val="18"/>
    </w:rPr>
  </w:style>
  <w:style w:type="character" w:styleId="ListLabel167">
    <w:name w:val="ListLabel 167"/>
    <w:qFormat/>
    <w:rPr>
      <w:rFonts w:cs="StarSymbol;Arial Unicode MS"/>
      <w:sz w:val="18"/>
      <w:szCs w:val="18"/>
    </w:rPr>
  </w:style>
  <w:style w:type="character" w:styleId="ListLabel168">
    <w:name w:val="ListLabel 168"/>
    <w:qFormat/>
    <w:rPr>
      <w:rFonts w:cs="StarSymbol;Arial Unicode MS"/>
      <w:sz w:val="18"/>
      <w:szCs w:val="18"/>
    </w:rPr>
  </w:style>
  <w:style w:type="character" w:styleId="ListLabel169">
    <w:name w:val="ListLabel 169"/>
    <w:qFormat/>
    <w:rPr>
      <w:rFonts w:cs="StarSymbol;Arial Unicode MS"/>
      <w:sz w:val="18"/>
      <w:szCs w:val="18"/>
    </w:rPr>
  </w:style>
  <w:style w:type="character" w:styleId="ListLabel170">
    <w:name w:val="ListLabel 170"/>
    <w:qFormat/>
    <w:rPr>
      <w:rFonts w:cs="StarSymbol;Arial Unicode MS"/>
      <w:sz w:val="18"/>
      <w:szCs w:val="18"/>
    </w:rPr>
  </w:style>
  <w:style w:type="character" w:styleId="ListLabel171">
    <w:name w:val="ListLabel 171"/>
    <w:qFormat/>
    <w:rPr>
      <w:rFonts w:cs="StarSymbol;Arial Unicode MS"/>
      <w:sz w:val="18"/>
      <w:szCs w:val="18"/>
    </w:rPr>
  </w:style>
  <w:style w:type="character" w:styleId="ListLabel172">
    <w:name w:val="ListLabel 172"/>
    <w:qFormat/>
    <w:rPr>
      <w:rFonts w:cs="StarSymbol;Arial Unicode MS"/>
      <w:sz w:val="18"/>
      <w:szCs w:val="18"/>
    </w:rPr>
  </w:style>
  <w:style w:type="character" w:styleId="ListLabel173">
    <w:name w:val="ListLabel 173"/>
    <w:qFormat/>
    <w:rPr>
      <w:rFonts w:cs="StarSymbol;Arial Unicode MS"/>
      <w:sz w:val="18"/>
      <w:szCs w:val="18"/>
    </w:rPr>
  </w:style>
  <w:style w:type="character" w:styleId="ListLabel174">
    <w:name w:val="ListLabel 174"/>
    <w:qFormat/>
    <w:rPr>
      <w:rFonts w:cs="StarSymbol;Arial Unicode MS"/>
      <w:sz w:val="18"/>
      <w:szCs w:val="18"/>
    </w:rPr>
  </w:style>
  <w:style w:type="character" w:styleId="ListLabel175">
    <w:name w:val="ListLabel 175"/>
    <w:qFormat/>
    <w:rPr>
      <w:rFonts w:cs="StarSymbol;Arial Unicode MS"/>
      <w:sz w:val="18"/>
      <w:szCs w:val="18"/>
    </w:rPr>
  </w:style>
  <w:style w:type="character" w:styleId="ListLabel176">
    <w:name w:val="ListLabel 176"/>
    <w:qFormat/>
    <w:rPr>
      <w:rFonts w:cs="StarSymbol;Arial Unicode MS"/>
      <w:sz w:val="18"/>
      <w:szCs w:val="18"/>
    </w:rPr>
  </w:style>
  <w:style w:type="character" w:styleId="ListLabel177">
    <w:name w:val="ListLabel 177"/>
    <w:qFormat/>
    <w:rPr>
      <w:rFonts w:cs="StarSymbol;Arial Unicode MS"/>
      <w:sz w:val="18"/>
      <w:szCs w:val="18"/>
    </w:rPr>
  </w:style>
  <w:style w:type="character" w:styleId="ListLabel178">
    <w:name w:val="ListLabel 178"/>
    <w:qFormat/>
    <w:rPr>
      <w:rFonts w:cs="StarSymbol;Arial Unicode MS"/>
      <w:sz w:val="18"/>
      <w:szCs w:val="18"/>
    </w:rPr>
  </w:style>
  <w:style w:type="character" w:styleId="ListLabel179">
    <w:name w:val="ListLabel 179"/>
    <w:qFormat/>
    <w:rPr>
      <w:rFonts w:cs="StarSymbol;Arial Unicode MS"/>
      <w:sz w:val="18"/>
      <w:szCs w:val="18"/>
    </w:rPr>
  </w:style>
  <w:style w:type="character" w:styleId="ListLabel180">
    <w:name w:val="ListLabel 180"/>
    <w:qFormat/>
    <w:rPr>
      <w:rFonts w:cs="StarSymbol;Arial Unicode MS"/>
      <w:sz w:val="18"/>
      <w:szCs w:val="18"/>
    </w:rPr>
  </w:style>
  <w:style w:type="character" w:styleId="ListLabel181">
    <w:name w:val="ListLabel 181"/>
    <w:qFormat/>
    <w:rPr>
      <w:rFonts w:cs="StarSymbol;Arial Unicode MS"/>
      <w:sz w:val="18"/>
      <w:szCs w:val="18"/>
    </w:rPr>
  </w:style>
  <w:style w:type="character" w:styleId="ListLabel182">
    <w:name w:val="ListLabel 182"/>
    <w:qFormat/>
    <w:rPr>
      <w:rFonts w:cs="StarSymbol;Arial Unicode MS"/>
      <w:sz w:val="18"/>
      <w:szCs w:val="18"/>
    </w:rPr>
  </w:style>
  <w:style w:type="character" w:styleId="ListLabel183">
    <w:name w:val="ListLabel 183"/>
    <w:qFormat/>
    <w:rPr>
      <w:rFonts w:cs="StarSymbol;Arial Unicode MS"/>
      <w:sz w:val="18"/>
      <w:szCs w:val="18"/>
    </w:rPr>
  </w:style>
  <w:style w:type="character" w:styleId="ListLabel184">
    <w:name w:val="ListLabel 184"/>
    <w:qFormat/>
    <w:rPr>
      <w:rFonts w:cs="StarSymbol;Arial Unicode MS"/>
      <w:sz w:val="18"/>
      <w:szCs w:val="18"/>
    </w:rPr>
  </w:style>
  <w:style w:type="character" w:styleId="ListLabel185">
    <w:name w:val="ListLabel 185"/>
    <w:qFormat/>
    <w:rPr>
      <w:rFonts w:cs="StarSymbol;Arial Unicode MS"/>
      <w:sz w:val="18"/>
      <w:szCs w:val="18"/>
    </w:rPr>
  </w:style>
  <w:style w:type="character" w:styleId="ListLabel186">
    <w:name w:val="ListLabel 186"/>
    <w:qFormat/>
    <w:rPr>
      <w:rFonts w:cs="StarSymbol;Arial Unicode MS"/>
      <w:sz w:val="18"/>
      <w:szCs w:val="18"/>
    </w:rPr>
  </w:style>
  <w:style w:type="character" w:styleId="ListLabel187">
    <w:name w:val="ListLabel 187"/>
    <w:qFormat/>
    <w:rPr>
      <w:rFonts w:cs="StarSymbol;Arial Unicode MS"/>
      <w:sz w:val="18"/>
      <w:szCs w:val="18"/>
    </w:rPr>
  </w:style>
  <w:style w:type="character" w:styleId="ListLabel188">
    <w:name w:val="ListLabel 188"/>
    <w:qFormat/>
    <w:rPr>
      <w:rFonts w:cs="StarSymbol;Arial Unicode MS"/>
      <w:sz w:val="18"/>
      <w:szCs w:val="18"/>
    </w:rPr>
  </w:style>
  <w:style w:type="character" w:styleId="ListLabel189">
    <w:name w:val="ListLabel 189"/>
    <w:qFormat/>
    <w:rPr>
      <w:rFonts w:cs="StarSymbol;Arial Unicode MS"/>
      <w:sz w:val="18"/>
      <w:szCs w:val="18"/>
    </w:rPr>
  </w:style>
  <w:style w:type="character" w:styleId="ListLabel190">
    <w:name w:val="ListLabel 190"/>
    <w:qFormat/>
    <w:rPr>
      <w:rFonts w:cs="StarSymbol;Arial Unicode MS"/>
      <w:sz w:val="18"/>
      <w:szCs w:val="18"/>
    </w:rPr>
  </w:style>
  <w:style w:type="character" w:styleId="ListLabel191">
    <w:name w:val="ListLabel 191"/>
    <w:qFormat/>
    <w:rPr>
      <w:rFonts w:cs="StarSymbol;Arial Unicode MS"/>
      <w:sz w:val="18"/>
      <w:szCs w:val="18"/>
    </w:rPr>
  </w:style>
  <w:style w:type="character" w:styleId="ListLabel192">
    <w:name w:val="ListLabel 192"/>
    <w:qFormat/>
    <w:rPr>
      <w:rFonts w:cs="StarSymbol;Arial Unicode MS"/>
      <w:sz w:val="18"/>
      <w:szCs w:val="18"/>
    </w:rPr>
  </w:style>
  <w:style w:type="character" w:styleId="ListLabel193">
    <w:name w:val="ListLabel 193"/>
    <w:qFormat/>
    <w:rPr>
      <w:rFonts w:cs="StarSymbol;Arial Unicode MS"/>
      <w:sz w:val="18"/>
      <w:szCs w:val="18"/>
    </w:rPr>
  </w:style>
  <w:style w:type="character" w:styleId="ListLabel194">
    <w:name w:val="ListLabel 194"/>
    <w:qFormat/>
    <w:rPr>
      <w:rFonts w:cs="StarSymbol;Arial Unicode MS"/>
      <w:sz w:val="18"/>
      <w:szCs w:val="18"/>
    </w:rPr>
  </w:style>
  <w:style w:type="character" w:styleId="ListLabel195">
    <w:name w:val="ListLabel 195"/>
    <w:qFormat/>
    <w:rPr>
      <w:rFonts w:cs="StarSymbol;Arial Unicode MS"/>
      <w:sz w:val="18"/>
      <w:szCs w:val="18"/>
    </w:rPr>
  </w:style>
  <w:style w:type="character" w:styleId="ListLabel196">
    <w:name w:val="ListLabel 196"/>
    <w:qFormat/>
    <w:rPr>
      <w:rFonts w:cs="StarSymbol;Arial Unicode MS"/>
      <w:sz w:val="18"/>
      <w:szCs w:val="18"/>
    </w:rPr>
  </w:style>
  <w:style w:type="character" w:styleId="ListLabel197">
    <w:name w:val="ListLabel 197"/>
    <w:qFormat/>
    <w:rPr>
      <w:rFonts w:cs="StarSymbol;Arial Unicode MS"/>
      <w:sz w:val="18"/>
      <w:szCs w:val="18"/>
    </w:rPr>
  </w:style>
  <w:style w:type="character" w:styleId="ListLabel198">
    <w:name w:val="ListLabel 198"/>
    <w:qFormat/>
    <w:rPr>
      <w:rFonts w:cs="StarSymbol;Arial Unicode MS"/>
      <w:sz w:val="18"/>
      <w:szCs w:val="18"/>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image" Target="media/image3.jpeg"/><Relationship Id="rId6" Type="http://schemas.openxmlformats.org/officeDocument/2006/relationships/hyperlink" Target="https://www.flickr.com/photos/franceecologieenergie/sets/72157656072394773"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chart" Target="charts/chart2.xml"/><Relationship Id="rId19" Type="http://schemas.openxmlformats.org/officeDocument/2006/relationships/chart" Target="charts/chart3.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notes" Target="footnote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Relationship Id="rId17" Type="http://schemas.openxmlformats.org/officeDocument/2006/relationships/hyperlink" Target="http://droneanalyst.com/2014/12/01/drones-are-the-future-of-iot/" TargetMode="Externa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45974375"/>
        <c:axId val="34336378"/>
      </c:barChart>
      <c:catAx>
        <c:axId val="45974375"/>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4336378"/>
        <c:crosses val="autoZero"/>
        <c:auto val="1"/>
        <c:lblAlgn val="ctr"/>
        <c:lblOffset val="100"/>
      </c:catAx>
      <c:valAx>
        <c:axId val="34336378"/>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45974375"/>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9862722"/>
        <c:axId val="46270343"/>
      </c:radarChart>
      <c:catAx>
        <c:axId val="9862722"/>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46270343"/>
        <c:crosses val="autoZero"/>
        <c:auto val="1"/>
        <c:lblAlgn val="ctr"/>
        <c:lblOffset val="100"/>
      </c:catAx>
      <c:valAx>
        <c:axId val="46270343"/>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9862722"/>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17470483"/>
        <c:axId val="95699650"/>
      </c:radarChart>
      <c:catAx>
        <c:axId val="17470483"/>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95699650"/>
        <c:crosses val="autoZero"/>
        <c:auto val="1"/>
        <c:lblAlgn val="ctr"/>
        <c:lblOffset val="100"/>
      </c:catAx>
      <c:valAx>
        <c:axId val="95699650"/>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7470483"/>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19460</TotalTime>
  <Application>LibreOffice/5.1.6.2$Linux_X86_64 LibreOffice_project/10m0$Build-2</Application>
  <Pages>40</Pages>
  <Words>9357</Words>
  <Characters>51434</Characters>
  <CharactersWithSpaces>60493</CharactersWithSpaces>
  <Paragraphs>416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2017-05-20T17:58:31Z</dcterms:modified>
  <cp:revision>771</cp:revision>
  <dc:subject/>
  <dc:title>EXAMEN PROFESSIONNEL de VERIFICATION</dc:title>
</cp:coreProperties>
</file>