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00" w:rsidRDefault="004A5641" w:rsidP="00F3234B">
      <w:pPr>
        <w:pStyle w:val="Title"/>
        <w:jc w:val="center"/>
      </w:pPr>
      <w:r>
        <w:t>Grid - non</w:t>
      </w:r>
      <w:r w:rsidR="00F3234B">
        <w:t>-</w:t>
      </w:r>
      <w:r>
        <w:t>uniform</w:t>
      </w:r>
    </w:p>
    <w:p w:rsidR="00F3234B" w:rsidRDefault="00F3234B">
      <w:r>
        <w:t>The non-uniform grid was made using a Roberts stretching function, which was documented in MOONS as well.</w:t>
      </w:r>
    </w:p>
    <w:p w:rsidR="00F3234B" w:rsidRDefault="00F3234B" w:rsidP="00F3234B">
      <w:pPr>
        <w:pStyle w:val="Heading1"/>
      </w:pPr>
      <w:r>
        <w:t>Robert's stretching function</w:t>
      </w:r>
    </w:p>
    <w:p w:rsidR="00F3234B" w:rsidRDefault="00F3234B">
      <w:r>
        <w:t>The Robert's stretching function is</w:t>
      </w:r>
    </w:p>
    <w:p w:rsidR="00F3234B" w:rsidRDefault="00F3234B">
      <m:oMathPara>
        <m:oMath>
          <m:r>
            <w:rPr>
              <w:rFonts w:ascii="Cambria Math" w:hAnsi="Cambria Math"/>
            </w:rPr>
            <m:t>y=h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β+2α</m:t>
                  </m:r>
                </m:e>
              </m:d>
              <m:r>
                <w:rPr>
                  <w:rFonts w:ascii="Cambria Math" w:hAnsi="Cambria Math"/>
                </w:rPr>
                <m:t>γ-β+2α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2α+1</m:t>
                  </m:r>
                </m:e>
              </m:d>
              <m:r>
                <w:rPr>
                  <w:rFonts w:ascii="Cambria Math" w:hAnsi="Cambria Math"/>
                </w:rPr>
                <m:t>{1+γ}</m:t>
              </m:r>
            </m:den>
          </m:f>
        </m:oMath>
      </m:oMathPara>
    </w:p>
    <w:p w:rsidR="009B0309" w:rsidRDefault="009B0309" w:rsidP="009B0309">
      <w:r>
        <w:t>Where</w:t>
      </w:r>
    </w:p>
    <w:p w:rsidR="009B0309" w:rsidRDefault="009B0309" w:rsidP="009B0309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(β+1)/(β-1)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-α)/(1-α)</m:t>
              </m:r>
            </m:sup>
          </m:sSup>
        </m:oMath>
      </m:oMathPara>
    </w:p>
    <w:p w:rsidR="009B0309" w:rsidRDefault="009B0309" w:rsidP="009B0309">
      <w:pPr>
        <w:jc w:val="center"/>
      </w:pPr>
      <m:oMath>
        <m:r>
          <w:rPr>
            <w:rFonts w:ascii="Cambria Math" w:hAnsi="Cambria Math"/>
          </w:rPr>
          <m:t>α=0→</m:t>
        </m:r>
      </m:oMath>
      <w:r>
        <w:t xml:space="preserve"> stretching at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only</w:t>
      </w:r>
    </w:p>
    <w:p w:rsidR="009B0309" w:rsidRDefault="009B0309" w:rsidP="009B0309">
      <w:pPr>
        <w:jc w:val="center"/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</m:t>
        </m:r>
      </m:oMath>
      <w:r>
        <w:t xml:space="preserve"> stretching at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h=0</m:t>
        </m:r>
      </m:oMath>
    </w:p>
    <w:p w:rsidR="009B0309" w:rsidRDefault="009B0309" w:rsidP="009B0309">
      <w:pPr>
        <w:jc w:val="center"/>
      </w:pPr>
      <m:oMathPara>
        <m:oMath>
          <m:r>
            <w:rPr>
              <w:rFonts w:ascii="Cambria Math" w:hAnsi="Cambria Math"/>
            </w:rPr>
            <m:t>0≤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≤1</m:t>
          </m:r>
        </m:oMath>
      </m:oMathPara>
    </w:p>
    <w:p w:rsidR="00403820" w:rsidRDefault="009B0309" w:rsidP="00403820">
      <w:pPr>
        <w:pStyle w:val="Heading1"/>
      </w:pPr>
      <w:r>
        <w:t>Scaled Robert's stretching function</w:t>
      </w:r>
    </w:p>
    <w:p w:rsidR="00F3234B" w:rsidRDefault="00403820">
      <w:r>
        <w:t>In a slightly different notation, f</w:t>
      </w:r>
      <w:r w:rsidR="00F3234B">
        <w:t>or a scaled grid, not starting at zero, we may write</w:t>
      </w:r>
    </w:p>
    <w:p w:rsidR="00F3234B" w:rsidRDefault="002B41E0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β+2α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γ-β+2α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{1+γ}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(0-1)</m:t>
              </m:r>
            </m:lim>
          </m:limLow>
        </m:oMath>
      </m:oMathPara>
    </w:p>
    <w:p w:rsidR="009B0309" w:rsidRDefault="009B0309" w:rsidP="009B0309">
      <w:r>
        <w:t>Where</w:t>
      </w:r>
    </w:p>
    <w:p w:rsidR="009B0309" w:rsidRDefault="009B0309" w:rsidP="009B0309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(β+1)/(β-1)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-α)/(1-α)</m:t>
              </m:r>
            </m:sup>
          </m:sSup>
        </m:oMath>
      </m:oMathPara>
    </w:p>
    <w:p w:rsidR="009B0309" w:rsidRDefault="009B0309" w:rsidP="009B0309">
      <w:pPr>
        <w:jc w:val="center"/>
      </w:pPr>
      <m:oMath>
        <m:r>
          <w:rPr>
            <w:rFonts w:ascii="Cambria Math" w:hAnsi="Cambria Math"/>
          </w:rPr>
          <m:t>α=0→</m:t>
        </m:r>
      </m:oMath>
      <w:r>
        <w:t xml:space="preserve"> stretching at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only</w:t>
      </w:r>
    </w:p>
    <w:p w:rsidR="009B0309" w:rsidRDefault="009B0309" w:rsidP="009B0309">
      <w:pPr>
        <w:jc w:val="center"/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</m:t>
        </m:r>
      </m:oMath>
      <w:r>
        <w:t xml:space="preserve"> stretching at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h=0</m:t>
        </m:r>
      </m:oMath>
    </w:p>
    <w:p w:rsidR="009B0309" w:rsidRDefault="009B0309" w:rsidP="009B0309">
      <w:pPr>
        <w:jc w:val="center"/>
      </w:pPr>
      <m:oMathPara>
        <m:oMath>
          <m:r>
            <w:rPr>
              <w:rFonts w:ascii="Cambria Math" w:hAnsi="Cambria Math"/>
            </w:rPr>
            <m:t>0≤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≤1</m:t>
          </m:r>
        </m:oMath>
      </m:oMathPara>
    </w:p>
    <w:p w:rsidR="00E34241" w:rsidRPr="00E34241" w:rsidRDefault="009B0309" w:rsidP="00E34241">
      <w:pPr>
        <w:pStyle w:val="Heading1"/>
      </w:pPr>
      <w:r>
        <w:t xml:space="preserve">Matching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>'s</w:t>
      </w:r>
    </w:p>
    <w:p w:rsidR="00F3234B" w:rsidRDefault="00F3234B">
      <w:r>
        <w:t xml:space="preserve">We would like to ensure that the first fictitious cell is the same size as the first interior cell in order to </w:t>
      </w:r>
      <w:r w:rsidR="00E34241">
        <w:t>be able to linearly extrapolate from the interior cells to the exterior cell.</w:t>
      </w:r>
    </w:p>
    <w:p w:rsidR="00F3234B" w:rsidRDefault="00F3234B">
      <w:r>
        <w:t xml:space="preserve">To do this, we must choose a </w:t>
      </w:r>
      <m:oMath>
        <m:r>
          <w:rPr>
            <w:rFonts w:ascii="Cambria Math" w:hAnsi="Cambria Math"/>
          </w:rPr>
          <m:t>β</m:t>
        </m:r>
      </m:oMath>
      <w:r>
        <w:t xml:space="preserve"> such that</w:t>
      </w:r>
    </w:p>
    <w:p w:rsidR="00690DA8" w:rsidRDefault="003E4DEA" w:rsidP="00690D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F3234B" w:rsidRDefault="00F3234B">
      <w:r>
        <w:t>Where</w:t>
      </w:r>
    </w:p>
    <w:p w:rsidR="00F3234B" w:rsidRDefault="00F3234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interior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interior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317D9C" w:rsidRDefault="00690DA8" w:rsidP="00317D9C">
      <w:r>
        <w:lastRenderedPageBreak/>
        <w:t xml:space="preserve">Note that this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t xml:space="preserve"> is dimensional.</w:t>
      </w:r>
      <w:r w:rsidR="007B497B">
        <w:t xml:space="preserve"> </w:t>
      </w:r>
      <w:r w:rsidR="00317D9C">
        <w:t>Plugging this in, we have:</w:t>
      </w:r>
    </w:p>
    <w:p w:rsidR="00317D9C" w:rsidRDefault="003E4DEA" w:rsidP="002B41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β+2α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-β+2α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2α+1</m:t>
                  </m:r>
                </m:e>
              </m:d>
              <m:r>
                <w:rPr>
                  <w:rFonts w:ascii="Cambria Math" w:hAnsi="Cambria Math"/>
                </w:rPr>
                <m:t>{1+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β+2α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-β+2α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2α+1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317D9C" w:rsidRDefault="003E4DEA" w:rsidP="00317D9C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β+2α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-β+2α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{1+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dimensionless</m:t>
              </m:r>
            </m:lim>
          </m:limLow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β+2α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-β+2α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2α+1</m:t>
                              </m:r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dimensionless</m:t>
              </m:r>
            </m:lim>
          </m:limLow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:rsidR="00E36648" w:rsidRDefault="00383B6A" w:rsidP="000B3414">
      <w:r>
        <w:t xml:space="preserve">Now, here comes the tricky part. </w:t>
      </w:r>
    </w:p>
    <w:p w:rsidR="00E36648" w:rsidRDefault="000B3414" w:rsidP="000B3414"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6648">
        <w:t xml:space="preserve"> is normalized:</w:t>
      </w:r>
    </w:p>
    <w:p w:rsidR="000B3414" w:rsidRDefault="003E4DEA" w:rsidP="000B34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-α)/(1-α)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β+1</m:t>
              </m:r>
            </m:num>
            <m:den>
              <m:r>
                <w:rPr>
                  <w:rFonts w:ascii="Cambria Math" w:hAnsi="Cambria Math"/>
                </w:rPr>
                <m:t>β-1</m:t>
              </m:r>
            </m:den>
          </m:f>
        </m:oMath>
      </m:oMathPara>
    </w:p>
    <w:p w:rsidR="00E36648" w:rsidRDefault="00E36648" w:rsidP="000B3414">
      <w:r>
        <w:t xml:space="preserve">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is also normalized:</w:t>
      </w:r>
    </w:p>
    <w:p w:rsidR="00E36648" w:rsidRDefault="003E4DEA" w:rsidP="00E366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-α)/(1-α)</m:t>
              </m:r>
            </m:sup>
          </m:sSup>
        </m:oMath>
      </m:oMathPara>
    </w:p>
    <w:p w:rsidR="00E36648" w:rsidRDefault="00E36648" w:rsidP="00E36648">
      <w:r>
        <w:t>We may write this term as</w:t>
      </w:r>
    </w:p>
    <w:p w:rsidR="00E36648" w:rsidRDefault="003E4DEA" w:rsidP="00E366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</m:e>
          </m:d>
        </m:oMath>
      </m:oMathPara>
    </w:p>
    <w:p w:rsidR="00EF0AE5" w:rsidRPr="002B41E0" w:rsidRDefault="00E36648" w:rsidP="000B341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is the number of cells in the wall.</w:t>
      </w:r>
    </w:p>
    <w:sectPr w:rsidR="00EF0AE5" w:rsidRPr="002B41E0" w:rsidSect="00F32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3234B"/>
    <w:rsid w:val="000458E8"/>
    <w:rsid w:val="000B3414"/>
    <w:rsid w:val="000E70F8"/>
    <w:rsid w:val="002B41E0"/>
    <w:rsid w:val="00317D9C"/>
    <w:rsid w:val="00355502"/>
    <w:rsid w:val="00383B6A"/>
    <w:rsid w:val="003E4DEA"/>
    <w:rsid w:val="00403820"/>
    <w:rsid w:val="004A5641"/>
    <w:rsid w:val="0052006E"/>
    <w:rsid w:val="00690DA8"/>
    <w:rsid w:val="007B497B"/>
    <w:rsid w:val="009B0309"/>
    <w:rsid w:val="00A303E6"/>
    <w:rsid w:val="00B32276"/>
    <w:rsid w:val="00B63500"/>
    <w:rsid w:val="00E34241"/>
    <w:rsid w:val="00E36648"/>
    <w:rsid w:val="00EF0AE5"/>
    <w:rsid w:val="00F3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EA"/>
  </w:style>
  <w:style w:type="paragraph" w:styleId="Heading1">
    <w:name w:val="heading 1"/>
    <w:basedOn w:val="Normal"/>
    <w:next w:val="Normal"/>
    <w:link w:val="Heading1Char"/>
    <w:uiPriority w:val="9"/>
    <w:qFormat/>
    <w:rsid w:val="00F32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2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3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2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16</cp:revision>
  <dcterms:created xsi:type="dcterms:W3CDTF">2014-10-04T00:00:00Z</dcterms:created>
  <dcterms:modified xsi:type="dcterms:W3CDTF">2014-10-21T02:40:00Z</dcterms:modified>
</cp:coreProperties>
</file>