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44" w:rsidRDefault="009700CB" w:rsidP="00DD184D">
      <w:pPr>
        <w:pStyle w:val="Title"/>
        <w:jc w:val="center"/>
        <w:outlineLvl w:val="0"/>
      </w:pPr>
      <w:r>
        <w:t>Stability Analysis</w:t>
      </w:r>
    </w:p>
    <w:p w:rsidR="00786FD0" w:rsidRDefault="00786FD0" w:rsidP="00786FD0">
      <w:r>
        <w:t xml:space="preserve">We are familiar with the classic stability criterion for the </w:t>
      </w:r>
      <w:proofErr w:type="spellStart"/>
      <w:r>
        <w:t>advective</w:t>
      </w:r>
      <w:proofErr w:type="spellEnd"/>
      <w:r>
        <w:t xml:space="preserve"> and diffusive terms:</w:t>
      </w:r>
    </w:p>
    <w:p w:rsidR="00786FD0" w:rsidRDefault="00786FD0" w:rsidP="00786FD0">
      <w:pPr>
        <w:rPr>
          <w:rFonts w:eastAsiaTheme="minorEastAsia"/>
        </w:rP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ν</m:t>
              </m:r>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 max(u)</m:t>
              </m:r>
            </m:num>
            <m:den>
              <m:r>
                <m:rPr>
                  <m:sty m:val="p"/>
                </m:rPr>
                <w:rPr>
                  <w:rFonts w:ascii="Cambria Math" w:hAnsi="Cambria Math"/>
                </w:rPr>
                <m:t>Δ</m:t>
              </m:r>
              <m:r>
                <w:rPr>
                  <w:rFonts w:ascii="Cambria Math" w:hAnsi="Cambria Math"/>
                </w:rPr>
                <m:t>x</m:t>
              </m:r>
            </m:den>
          </m:f>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n+1</m:t>
              </m:r>
            </m:sup>
          </m:sSup>
        </m:oMath>
      </m:oMathPara>
    </w:p>
    <w:p w:rsidR="00786FD0" w:rsidRDefault="00786FD0" w:rsidP="00786FD0">
      <w:pPr>
        <w:rPr>
          <w:rFonts w:eastAsiaTheme="minorEastAsia"/>
        </w:rPr>
      </w:pPr>
      <w:r>
        <w:rPr>
          <w:rFonts w:eastAsiaTheme="minorEastAsia"/>
        </w:rPr>
        <w:t>Or</w:t>
      </w:r>
    </w:p>
    <w:p w:rsidR="00786FD0" w:rsidRDefault="00786FD0" w:rsidP="00786FD0">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 xml:space="preserve">+Fo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 xml:space="preserve">+Co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n+1</m:t>
              </m:r>
            </m:sup>
          </m:sSup>
        </m:oMath>
      </m:oMathPara>
    </w:p>
    <w:p w:rsidR="009700CB" w:rsidRPr="00786FD0" w:rsidRDefault="00786FD0" w:rsidP="009700CB">
      <w:pPr>
        <w:rPr>
          <w:rFonts w:eastAsiaTheme="minorEastAsia"/>
        </w:rPr>
      </w:pPr>
      <w:r>
        <w:rPr>
          <w:rFonts w:eastAsiaTheme="minorEastAsia"/>
        </w:rPr>
        <w:t xml:space="preserve">And so long the pressure is solved for exactly, there is no stability requirement for the pressure term. However, suppose the pressure at the subsequent step is not fully resolved, then there exists a similar criteria for the pressure term. This document investigates this restriction.  </w:t>
      </w:r>
      <w:r w:rsidR="009700CB">
        <w:t>The NS equations are</w:t>
      </w:r>
    </w:p>
    <w:p w:rsidR="009700CB" w:rsidRDefault="009700CB" w:rsidP="009700CB">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+ν</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p</m:t>
          </m:r>
        </m:oMath>
      </m:oMathPara>
    </w:p>
    <w:p w:rsidR="009700CB" w:rsidRDefault="009700CB" w:rsidP="009700CB">
      <w:pPr>
        <w:rPr>
          <w:rFonts w:eastAsiaTheme="minorEastAsia"/>
        </w:rPr>
      </w:pPr>
      <w:proofErr w:type="spellStart"/>
      <w:r>
        <w:rPr>
          <w:rFonts w:eastAsiaTheme="minorEastAsia"/>
        </w:rPr>
        <w:t>Discretizing</w:t>
      </w:r>
      <w:proofErr w:type="spellEnd"/>
      <w:r>
        <w:rPr>
          <w:rFonts w:eastAsiaTheme="minorEastAsia"/>
        </w:rPr>
        <w:t xml:space="preserve"> this using explicit Euler, we have</w:t>
      </w:r>
    </w:p>
    <w:p w:rsidR="00786FD0" w:rsidRPr="00786FD0" w:rsidRDefault="009700CB" w:rsidP="009700CB">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+ν</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n+1</m:t>
              </m:r>
            </m:sup>
          </m:sSup>
        </m:oMath>
      </m:oMathPara>
    </w:p>
    <w:p w:rsidR="009700CB" w:rsidRDefault="009700CB" w:rsidP="009700CB">
      <w:pPr>
        <w:rPr>
          <w:rFonts w:eastAsiaTheme="minorEastAsia"/>
        </w:rPr>
      </w:pPr>
      <w:r>
        <w:rPr>
          <w:rFonts w:eastAsiaTheme="minorEastAsia"/>
        </w:rPr>
        <w:t>Where</w:t>
      </w:r>
    </w:p>
    <w:p w:rsidR="009700CB" w:rsidRDefault="009700CB" w:rsidP="009700C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oMath>
      </m:oMathPara>
    </w:p>
    <w:p w:rsidR="00786FD0" w:rsidRDefault="00786FD0" w:rsidP="009700CB">
      <w:pPr>
        <w:rPr>
          <w:rFonts w:eastAsiaTheme="minorEastAsia"/>
        </w:rPr>
      </w:pPr>
      <w:r>
        <w:rPr>
          <w:rFonts w:eastAsiaTheme="minorEastAsia"/>
        </w:rPr>
        <w:t>Defining</w:t>
      </w:r>
    </w:p>
    <w:p w:rsidR="00786FD0" w:rsidRDefault="00786FD0" w:rsidP="00786FD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+ν</m:t>
              </m:r>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rPr>
                    <m:t>u</m:t>
                  </m:r>
                </m:e>
                <m:sub>
                  <m:r>
                    <w:rPr>
                      <w:rFonts w:ascii="Cambria Math" w:hAnsi="Cambria Math"/>
                    </w:rPr>
                    <m:t>i</m:t>
                  </m:r>
                </m:sub>
              </m:sSub>
            </m:e>
          </m:d>
        </m:oMath>
      </m:oMathPara>
    </w:p>
    <w:p w:rsidR="00786FD0" w:rsidRDefault="00786FD0" w:rsidP="009700CB">
      <w:pPr>
        <w:rPr>
          <w:rFonts w:eastAsiaTheme="minorEastAsia"/>
        </w:rPr>
      </w:pPr>
      <w:r>
        <w:rPr>
          <w:rFonts w:eastAsiaTheme="minorEastAsia"/>
        </w:rPr>
        <w:t>We may write</w:t>
      </w:r>
    </w:p>
    <w:p w:rsidR="00786FD0" w:rsidRDefault="00786FD0" w:rsidP="009700CB">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n+1</m:t>
              </m:r>
            </m:sup>
          </m:sSup>
        </m:oMath>
      </m:oMathPara>
    </w:p>
    <w:p w:rsidR="00786FD0" w:rsidRDefault="00786FD0" w:rsidP="009700CB">
      <w:pPr>
        <w:rPr>
          <w:rFonts w:eastAsiaTheme="minorEastAsia"/>
        </w:rPr>
      </w:pPr>
      <w:r>
        <w:rPr>
          <w:rFonts w:eastAsiaTheme="minorEastAsia"/>
        </w:rPr>
        <w:t>Taking the divergence of this equation to try to make the divergence at the next step to be zero results in</w:t>
      </w:r>
    </w:p>
    <w:p w:rsidR="00780F80" w:rsidRDefault="00786FD0" w:rsidP="009700CB">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e>
              </m:groupChr>
            </m:e>
            <m:lim>
              <m:r>
                <w:rPr>
                  <w:rFonts w:ascii="Cambria Math" w:eastAsiaTheme="minorEastAsia" w:hAnsi="Cambria Math"/>
                </w:rPr>
                <m:t>zero if poisson is exactly solved</m:t>
              </m:r>
            </m:lim>
          </m:limLow>
        </m:oMath>
      </m:oMathPara>
    </w:p>
    <w:p w:rsidR="00215CD8" w:rsidRDefault="00665BBE" w:rsidP="00215CD8">
      <w:pPr>
        <w:rPr>
          <w:rFonts w:eastAsiaTheme="minorEastAsia"/>
        </w:rPr>
      </w:pPr>
      <w:r>
        <w:rPr>
          <w:rFonts w:eastAsiaTheme="minorEastAsia"/>
        </w:rPr>
        <w:t>At the next step we may write</w:t>
      </w:r>
    </w:p>
    <w:p w:rsidR="00665BBE" w:rsidRDefault="00665BBE" w:rsidP="00665BBE">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n+2</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n+1</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i</m:t>
              </m:r>
            </m:sub>
          </m:sSub>
          <m:sSup>
            <m:sSupPr>
              <m:ctrlPr>
                <w:rPr>
                  <w:rFonts w:ascii="Cambria Math" w:hAnsi="Cambria Math"/>
                  <w:i/>
                </w:rPr>
              </m:ctrlPr>
            </m:sSupPr>
            <m:e>
              <m:r>
                <w:rPr>
                  <w:rFonts w:ascii="Cambria Math" w:hAnsi="Cambria Math"/>
                </w:rPr>
                <m:t>p</m:t>
              </m:r>
            </m:e>
            <m:sup>
              <m:r>
                <w:rPr>
                  <w:rFonts w:ascii="Cambria Math" w:hAnsi="Cambria Math"/>
                </w:rPr>
                <m:t>n+2</m:t>
              </m:r>
            </m:sup>
          </m:sSup>
        </m:oMath>
      </m:oMathPara>
    </w:p>
    <w:p w:rsidR="00665BBE" w:rsidRDefault="00665BBE" w:rsidP="00215CD8">
      <w:pPr>
        <w:rPr>
          <w:rFonts w:eastAsiaTheme="minorEastAsia"/>
        </w:rPr>
      </w:pPr>
    </w:p>
    <w:p w:rsidR="00665BBE" w:rsidRDefault="00665BBE" w:rsidP="00215CD8">
      <w:pPr>
        <w:rPr>
          <w:rFonts w:eastAsiaTheme="minorEastAsia"/>
        </w:rPr>
      </w:pPr>
    </w:p>
    <w:p w:rsidR="00215CD8" w:rsidRDefault="00215CD8" w:rsidP="009700CB">
      <w:pPr>
        <w:rPr>
          <w:rFonts w:eastAsiaTheme="minorEastAsia"/>
        </w:rPr>
      </w:pPr>
    </w:p>
    <w:p w:rsidR="009700CB" w:rsidRDefault="009700CB" w:rsidP="009700CB">
      <w:pPr>
        <w:rPr>
          <w:rFonts w:eastAsiaTheme="minorEastAsia"/>
        </w:rPr>
      </w:pPr>
      <w:r>
        <w:rPr>
          <w:rFonts w:eastAsiaTheme="minorEastAsia"/>
        </w:rPr>
        <w:t xml:space="preserve">And so long the pressure is solved for exactly, there is no stability requirement for the pressure term. However, suppose the pressure at the subsequent step is not fully resolved. Let's assume that there is some associated error at step n, say </w:t>
      </w:r>
      <m:oMath>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n</m:t>
            </m:r>
          </m:sup>
        </m:sSup>
      </m:oMath>
      <w:r>
        <w:rPr>
          <w:rFonts w:eastAsiaTheme="minorEastAsia"/>
        </w:rPr>
        <w:t>. We may write our pressure at step n as</w:t>
      </w:r>
    </w:p>
    <w:p w:rsidR="009700CB" w:rsidRDefault="009700CB" w:rsidP="009700C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n</m:t>
              </m:r>
            </m:sup>
          </m:sSup>
        </m:oMath>
      </m:oMathPara>
    </w:p>
    <w:p w:rsidR="009700CB" w:rsidRDefault="00780F80" w:rsidP="009700CB">
      <w:r>
        <w:t>Then, substituting this back into the correction step we have</w:t>
      </w:r>
    </w:p>
    <w:p w:rsidR="00780F80" w:rsidRDefault="00780F80" w:rsidP="00780F80">
      <w:pPr>
        <w:rPr>
          <w:rFonts w:eastAsiaTheme="minorEastAsia"/>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 xml:space="preserve">+Fo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 xml:space="preserve">+Co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n</m:t>
              </m:r>
            </m:sup>
          </m:sSup>
          <m:r>
            <w:rPr>
              <w:rFonts w:ascii="Cambria Math" w:hAnsi="Cambria Math"/>
            </w:rPr>
            <m:t>)</m:t>
          </m:r>
        </m:oMath>
      </m:oMathPara>
    </w:p>
    <w:p w:rsidR="00780F80" w:rsidRDefault="00780F80" w:rsidP="009700CB"/>
    <w:p w:rsidR="00780F80" w:rsidRDefault="00780F80" w:rsidP="009700CB"/>
    <w:p w:rsidR="00780F80" w:rsidRPr="009700CB" w:rsidRDefault="00780F80" w:rsidP="009700CB"/>
    <w:sectPr w:rsidR="00780F80" w:rsidRPr="009700CB" w:rsidSect="00A32EC0">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412BD"/>
    <w:multiLevelType w:val="hybridMultilevel"/>
    <w:tmpl w:val="E7400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797DF5"/>
    <w:multiLevelType w:val="hybridMultilevel"/>
    <w:tmpl w:val="6066A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1755EF"/>
    <w:rsid w:val="000371C3"/>
    <w:rsid w:val="00042044"/>
    <w:rsid w:val="00057A4F"/>
    <w:rsid w:val="00072FD9"/>
    <w:rsid w:val="0008667E"/>
    <w:rsid w:val="00087F21"/>
    <w:rsid w:val="000D0B5E"/>
    <w:rsid w:val="000E3565"/>
    <w:rsid w:val="000F7A12"/>
    <w:rsid w:val="00115854"/>
    <w:rsid w:val="00126B7C"/>
    <w:rsid w:val="0012756C"/>
    <w:rsid w:val="00174D91"/>
    <w:rsid w:val="001755EF"/>
    <w:rsid w:val="00184429"/>
    <w:rsid w:val="001A208C"/>
    <w:rsid w:val="001B4DE3"/>
    <w:rsid w:val="001C17A2"/>
    <w:rsid w:val="001D15E9"/>
    <w:rsid w:val="001E0DF6"/>
    <w:rsid w:val="001E70BF"/>
    <w:rsid w:val="00215CD8"/>
    <w:rsid w:val="002630CC"/>
    <w:rsid w:val="0027139B"/>
    <w:rsid w:val="002D2031"/>
    <w:rsid w:val="002E73A2"/>
    <w:rsid w:val="002E7A6C"/>
    <w:rsid w:val="003451F9"/>
    <w:rsid w:val="003554BF"/>
    <w:rsid w:val="00355F9D"/>
    <w:rsid w:val="003F40CC"/>
    <w:rsid w:val="00460E8F"/>
    <w:rsid w:val="00481C0C"/>
    <w:rsid w:val="004969A3"/>
    <w:rsid w:val="004A52D0"/>
    <w:rsid w:val="004C1593"/>
    <w:rsid w:val="00504F9F"/>
    <w:rsid w:val="005202CB"/>
    <w:rsid w:val="005230FB"/>
    <w:rsid w:val="00566F02"/>
    <w:rsid w:val="00573ECB"/>
    <w:rsid w:val="00581F11"/>
    <w:rsid w:val="00584759"/>
    <w:rsid w:val="00585507"/>
    <w:rsid w:val="00603C16"/>
    <w:rsid w:val="00641CB1"/>
    <w:rsid w:val="00645FA5"/>
    <w:rsid w:val="00661418"/>
    <w:rsid w:val="006640AF"/>
    <w:rsid w:val="00665BBE"/>
    <w:rsid w:val="00697148"/>
    <w:rsid w:val="006E6DEE"/>
    <w:rsid w:val="006F5F4F"/>
    <w:rsid w:val="007107F0"/>
    <w:rsid w:val="00780F80"/>
    <w:rsid w:val="00786FD0"/>
    <w:rsid w:val="00797BC0"/>
    <w:rsid w:val="007A3412"/>
    <w:rsid w:val="007B612C"/>
    <w:rsid w:val="007C65FF"/>
    <w:rsid w:val="007C76FE"/>
    <w:rsid w:val="008146BA"/>
    <w:rsid w:val="0081651B"/>
    <w:rsid w:val="008268EB"/>
    <w:rsid w:val="008321BD"/>
    <w:rsid w:val="00842270"/>
    <w:rsid w:val="008608AA"/>
    <w:rsid w:val="008B290E"/>
    <w:rsid w:val="008B4F41"/>
    <w:rsid w:val="008B5235"/>
    <w:rsid w:val="008C3428"/>
    <w:rsid w:val="008C7F30"/>
    <w:rsid w:val="008D483B"/>
    <w:rsid w:val="009025C4"/>
    <w:rsid w:val="00917E43"/>
    <w:rsid w:val="00931379"/>
    <w:rsid w:val="00953F1A"/>
    <w:rsid w:val="009641F9"/>
    <w:rsid w:val="009700CB"/>
    <w:rsid w:val="00971AD6"/>
    <w:rsid w:val="009F5A25"/>
    <w:rsid w:val="00A32EC0"/>
    <w:rsid w:val="00A36944"/>
    <w:rsid w:val="00A716D0"/>
    <w:rsid w:val="00A85C8A"/>
    <w:rsid w:val="00A97F3F"/>
    <w:rsid w:val="00AA4B92"/>
    <w:rsid w:val="00AC4291"/>
    <w:rsid w:val="00AD1D46"/>
    <w:rsid w:val="00AE0805"/>
    <w:rsid w:val="00AE10BF"/>
    <w:rsid w:val="00B0021B"/>
    <w:rsid w:val="00B2595C"/>
    <w:rsid w:val="00B278E7"/>
    <w:rsid w:val="00B3002E"/>
    <w:rsid w:val="00B63DE4"/>
    <w:rsid w:val="00B802C1"/>
    <w:rsid w:val="00BA0D3B"/>
    <w:rsid w:val="00BA2AEB"/>
    <w:rsid w:val="00C30E63"/>
    <w:rsid w:val="00C322A4"/>
    <w:rsid w:val="00C847D7"/>
    <w:rsid w:val="00CB484B"/>
    <w:rsid w:val="00CC601D"/>
    <w:rsid w:val="00CD23A4"/>
    <w:rsid w:val="00CD3C3F"/>
    <w:rsid w:val="00D05F87"/>
    <w:rsid w:val="00D22286"/>
    <w:rsid w:val="00D535D4"/>
    <w:rsid w:val="00D65C73"/>
    <w:rsid w:val="00D8480F"/>
    <w:rsid w:val="00DB58AE"/>
    <w:rsid w:val="00DC44EB"/>
    <w:rsid w:val="00DD184D"/>
    <w:rsid w:val="00DE209C"/>
    <w:rsid w:val="00E62F95"/>
    <w:rsid w:val="00EC2640"/>
    <w:rsid w:val="00ED0B52"/>
    <w:rsid w:val="00ED116C"/>
    <w:rsid w:val="00ED4450"/>
    <w:rsid w:val="00EE4182"/>
    <w:rsid w:val="00FA1F14"/>
    <w:rsid w:val="00FA2DED"/>
    <w:rsid w:val="00FB7A38"/>
    <w:rsid w:val="00FE1501"/>
    <w:rsid w:val="00FF2482"/>
    <w:rsid w:val="00FF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38"/>
  </w:style>
  <w:style w:type="paragraph" w:styleId="Heading1">
    <w:name w:val="heading 1"/>
    <w:basedOn w:val="Normal"/>
    <w:next w:val="Normal"/>
    <w:link w:val="Heading1Char"/>
    <w:uiPriority w:val="9"/>
    <w:qFormat/>
    <w:rsid w:val="00175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D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E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755E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55EF"/>
    <w:rPr>
      <w:rFonts w:ascii="Tahoma" w:hAnsi="Tahoma" w:cs="Tahoma"/>
      <w:sz w:val="16"/>
      <w:szCs w:val="16"/>
    </w:rPr>
  </w:style>
  <w:style w:type="paragraph" w:styleId="Title">
    <w:name w:val="Title"/>
    <w:basedOn w:val="Normal"/>
    <w:next w:val="Normal"/>
    <w:link w:val="TitleChar"/>
    <w:uiPriority w:val="10"/>
    <w:qFormat/>
    <w:rsid w:val="001755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55E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1755EF"/>
    <w:rPr>
      <w:color w:val="808080"/>
    </w:rPr>
  </w:style>
  <w:style w:type="paragraph" w:styleId="BalloonText">
    <w:name w:val="Balloon Text"/>
    <w:basedOn w:val="Normal"/>
    <w:link w:val="BalloonTextChar"/>
    <w:uiPriority w:val="99"/>
    <w:semiHidden/>
    <w:unhideWhenUsed/>
    <w:rsid w:val="00175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5EF"/>
    <w:rPr>
      <w:rFonts w:ascii="Tahoma" w:hAnsi="Tahoma" w:cs="Tahoma"/>
      <w:sz w:val="16"/>
      <w:szCs w:val="16"/>
    </w:rPr>
  </w:style>
  <w:style w:type="table" w:styleId="TableGrid">
    <w:name w:val="Table Grid"/>
    <w:basedOn w:val="TableNormal"/>
    <w:uiPriority w:val="59"/>
    <w:rsid w:val="00B259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4D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47D7"/>
    <w:pPr>
      <w:ind w:left="720"/>
      <w:contextualSpacing/>
    </w:pPr>
    <w:rPr>
      <w:rFonts w:eastAsiaTheme="minorEastAsia"/>
    </w:rPr>
  </w:style>
  <w:style w:type="paragraph" w:customStyle="1" w:styleId="heading">
    <w:name w:val="heading"/>
    <w:basedOn w:val="Heading1"/>
    <w:qFormat/>
    <w:rsid w:val="00AD1D4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E760B-7F1D-4507-98EB-0AA6DF8B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3778</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cp:revision>
  <cp:lastPrinted>2014-06-24T23:47:00Z</cp:lastPrinted>
  <dcterms:created xsi:type="dcterms:W3CDTF">2014-06-16T15:14:00Z</dcterms:created>
  <dcterms:modified xsi:type="dcterms:W3CDTF">2014-10-16T17:47:00Z</dcterms:modified>
</cp:coreProperties>
</file>