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58B6" w:rsidRDefault="00846081">
      <w:pPr>
        <w:pStyle w:val="Ttulo"/>
      </w:pPr>
      <w:r w:rsidRPr="00846081">
        <w:t>Relatório de pesquisa NetLab</w:t>
      </w:r>
    </w:p>
    <w:p w:rsidR="007558B6" w:rsidRDefault="00000000">
      <w:r>
        <w:t>Nome: Charles Luiz de Souza Mendes</w:t>
      </w:r>
      <w:r>
        <w:br/>
        <w:t>E-mail: clmendes@cos.ufrj.br</w:t>
      </w:r>
    </w:p>
    <w:p w:rsidR="005878EE" w:rsidRDefault="005878EE" w:rsidP="005878EE">
      <w:pPr>
        <w:pStyle w:val="Ttulo1"/>
        <w:keepLines w:val="0"/>
      </w:pPr>
      <w:r>
        <w:t>Motivação</w:t>
      </w:r>
    </w:p>
    <w:p w:rsidR="005878EE" w:rsidRDefault="005878EE" w:rsidP="005878EE">
      <w:r>
        <w:t>Com a crescente demanda por data centers e infraestruturas computacionais de alto desempenho em todo o mundo, impulsionada pelo aumento do uso de Inteligência Artificial, uma das questões que vêm sendo levantadas diz respeito ao consumo de água necessário para o resfriamento desses sistemas. Nos Estados Unidos, essa preocupação já vem sendo discutida em razão do elevado consumo de água e energia por data centers destinados a aplicações de Inteligência Artificial (https://exame.com/inteligencia-artificial/data-centers-que-alimentam-ia-viram-viloes-ambientais-nos-eua/).</w:t>
      </w:r>
    </w:p>
    <w:p w:rsidR="005878EE" w:rsidRDefault="005878EE" w:rsidP="005878EE">
      <w:r>
        <w:t>Nesse contexto, a pesquisa investiga como as proposições legislativas brasileiras abordam os impactos ambientais da inteligência artificial e da infraestrutura digital, com atenção à presença de questões relacionadas ao consumo de água nas ementas.</w:t>
      </w:r>
    </w:p>
    <w:p w:rsidR="007558B6" w:rsidRDefault="00000000">
      <w:pPr>
        <w:pStyle w:val="Ttulo1"/>
        <w:keepLines w:val="0"/>
      </w:pPr>
      <w:r>
        <w:t>Pergunta da pesquisa</w:t>
      </w:r>
    </w:p>
    <w:p w:rsidR="007558B6" w:rsidRDefault="00000000">
      <w:r>
        <w:t>Como as proposições legislativas abordam os impactos ambientais da inteligência artificial e da infraestrutura digital entre 2023 e 2025?</w:t>
      </w:r>
    </w:p>
    <w:p w:rsidR="007558B6" w:rsidRDefault="00000000">
      <w:pPr>
        <w:pStyle w:val="Ttulo1"/>
        <w:keepLines w:val="0"/>
      </w:pPr>
      <w:r>
        <w:t>Metodologia</w:t>
      </w:r>
    </w:p>
    <w:p w:rsidR="007558B6" w:rsidRDefault="00000000">
      <w:r>
        <w:t>Foram coletadas, pela API de Dados Abertos da Câmara dos Deputados, as ementas de projetos de lei (PL), projetos de lei complementar (PLP), propostas de emenda à Constituição (PEC) e medidas provisórias (MPV) apresentados de 1º de janeiro de 2023 a 31 de dezembro de 2025. As consultas foram divididas em intervalos de até três meses, percorrendo todas as páginas retornadas.</w:t>
      </w:r>
    </w:p>
    <w:p w:rsidR="007558B6" w:rsidRDefault="00000000">
      <w:r>
        <w:t>A limpeza remove registros sem ID, tipo, data ou ementa, restringe o período e os tipos e elimina duplicatas por ID. A base salva contém 17.516 registros, todos mantidos após essa limpeza. O filtro selecionou cinco ementas com ao menos um termo tecnológico (inteligência artificial, data center, datacenter, infraestrutura digital ou computação em nuvem) e um ambiental (água, energia, carbono, clima, resíduo, ambiental ou meio ambiente), sem distinguir maiúsculas e minúsculas.</w:t>
      </w:r>
    </w:p>
    <w:p w:rsidR="007558B6" w:rsidRDefault="00000000">
      <w:r>
        <w:t>O GPT classificou as cinco ementas como relação direta, indireta, ausente ou incerta, registrando temas, abordagem e evidência literal. Foi utilizado o modelo gpt-4.1-mini-2025-04-14, com temperatura 0. A revisão fez uma segunda classificação sem mostrar a resposta anterior e comparou categorias e temas e verificou se os trechos citados nas duas avaliações aparecem nas ementas. Houve concordância automática nos cinco casos, com evidências presentes nas ementas e nenhuma pendência sinalizada. Essa concordância não garante acerto; as verificações não avaliam automaticamente se cada trecho sustenta a interpretação atribuída. Na etapa 02 Limpeza, o TF-IDF calculou pesos para um vocabulário temático predefinido, considerando expressões de uma a três palavras. As ementas, os principais termos e seus pesos foram salvos em candidatos_tfidf.csv; o gráfico apresenta a média dos pesos por termo.</w:t>
      </w:r>
    </w:p>
    <w:p w:rsidR="007558B6" w:rsidRDefault="00000000">
      <w:pPr>
        <w:pStyle w:val="Ttulo1"/>
        <w:keepLines w:val="0"/>
      </w:pPr>
      <w:r>
        <w:t>Resposta da pesquisa</w:t>
      </w:r>
    </w:p>
    <w:p w:rsidR="0095648D" w:rsidRDefault="00000000">
      <w:r>
        <w:t>Os gráficos mostram duas proposições com relação ambiental direta (40%), duas com relação indireta (40%) e uma sem relação ambiental (20%); nenhuma foi classificada como incerta. As diretas tratam de eficiência energética, sustentabilidade socioambiental e licenciamento de data centers. As indiretas associam IA à prevenção de incêndios ou combinam financiamento ambiental e tecnológico. O consumo de água não aparece como tema direto nas ementas analisadas.</w:t>
      </w:r>
    </w:p>
    <w:p w:rsidR="007558B6" w:rsidRDefault="00000000">
      <w:r>
        <w:t xml:space="preserve">O conjunto reúne uma proposição de 2024 e quatro de 2025, sendo quatro PLs e um PLP. Nenhuma proposição de 2023, PEC ou MPV passou pelo filtro. Esses números descrevem a seleção e não demonstram crescimento do debate. Os temas atribuídos pelo GPT foram Meio ambiente (4), Energia (3) e Clima e emissões (1), com </w:t>
      </w:r>
      <w:r>
        <w:lastRenderedPageBreak/>
        <w:t>possibilidade de mais de um tema por proposição. No TF-IDF, os maiores pesos médios foram de inteligência artificial (0,280), tecnologia (0,203) e sustentabilidade (0,200). O destaque de água decorre da expressão marca d’água, evidenciando um falso positivo do filtro, sem relação com consumo hídrico.</w:t>
      </w:r>
    </w:p>
    <w:p w:rsidR="007558B6" w:rsidRDefault="00000000">
      <w:r>
        <w:t xml:space="preserve">Notebook no Google Colab: </w:t>
      </w:r>
      <w:hyperlink r:id="rId8">
        <w:r w:rsidR="007558B6">
          <w:rPr>
            <w:color w:val="0563C1"/>
            <w:u w:val="single"/>
          </w:rPr>
          <w:t>Acessar notebook da pesquisa</w:t>
        </w:r>
      </w:hyperlink>
    </w:p>
    <w:p w:rsidR="00321DDA" w:rsidRDefault="00625D12">
      <w:r w:rsidRPr="00625D12">
        <w:rPr>
          <w:sz w:val="18"/>
        </w:rPr>
        <w:t>https://colab.research.google.com/drive/1Fms8a918A7ZIzj1D3MTcFme5DnHElREB?usp=sharing</w:t>
      </w:r>
    </w:p>
    <w:p w:rsidR="007558B6" w:rsidRDefault="00000000">
      <w:pPr>
        <w:pStyle w:val="Ttulo1"/>
        <w:keepLines w:val="0"/>
      </w:pPr>
      <w:r>
        <w:t>Resultados por proposição</w:t>
      </w:r>
    </w:p>
    <w:tbl>
      <w:tblPr>
        <w:tblStyle w:val="SombreamentoClaro-nfase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361"/>
        <w:gridCol w:w="6576"/>
      </w:tblGrid>
      <w:tr w:rsidR="007558B6" w:rsidTr="00755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</w:tcBorders>
            <w:shd w:val="clear" w:color="auto" w:fill="315B7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color w:val="FFFFFF"/>
                <w:sz w:val="20"/>
              </w:rPr>
              <w:t>Proposição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val="clear" w:color="auto" w:fill="315B7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Relação</w:t>
            </w:r>
          </w:p>
        </w:tc>
        <w:tc>
          <w:tcPr>
            <w:tcW w:w="6576" w:type="dxa"/>
            <w:tcBorders>
              <w:top w:val="nil"/>
              <w:bottom w:val="nil"/>
            </w:tcBorders>
            <w:shd w:val="clear" w:color="auto" w:fill="315B7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Abordagem identificada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3604/2024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Indireta</w:t>
            </w:r>
          </w:p>
        </w:tc>
        <w:tc>
          <w:tcPr>
            <w:tcW w:w="6576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Propõe permitir o investimento de recursos do Fundo Nacional sobre Mudança do Clima em TI e IA para prevenção e contenção de incêndios em ambientes naturais.</w:t>
            </w:r>
          </w:p>
        </w:tc>
      </w:tr>
      <w:tr w:rsidR="007558B6" w:rsidTr="007558B6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2080/2025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Direta</w:t>
            </w:r>
          </w:p>
        </w:tc>
        <w:tc>
          <w:tcPr>
            <w:tcW w:w="65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Propõe instituir uma política nacional de eficiência energética e sustentabilidade socioambiental para data centers.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4621/2025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Indireta</w:t>
            </w:r>
          </w:p>
        </w:tc>
        <w:tc>
          <w:tcPr>
            <w:tcW w:w="6576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Propõe destinar receitas de petróleo e gás a investimentos ambientais e outras áreas, além de criar fundos, incluindo um para desenvolvimento da IA.</w:t>
            </w:r>
          </w:p>
        </w:tc>
      </w:tr>
      <w:tr w:rsidR="007558B6" w:rsidTr="007558B6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6102/2025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Ausente</w:t>
            </w:r>
          </w:p>
        </w:tc>
        <w:tc>
          <w:tcPr>
            <w:tcW w:w="65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Propõe exigir marca d’água ou sinalização em conteúdos produzidos ou alterados por IA. A expressão marca d’água acionou o filtro, sem relação com recursos hídricos.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PLP 280/2025</w:t>
            </w:r>
          </w:p>
        </w:tc>
        <w:tc>
          <w:tcPr>
            <w:tcW w:w="1361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Direta</w:t>
            </w:r>
          </w:p>
        </w:tc>
        <w:tc>
          <w:tcPr>
            <w:tcW w:w="6576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4364B"/>
                <w:sz w:val="20"/>
              </w:rPr>
              <w:t>Propõe definir a competência para o licenciamento ambiental de data centers e estruturas associadas.</w:t>
            </w:r>
          </w:p>
        </w:tc>
      </w:tr>
    </w:tbl>
    <w:p w:rsidR="007558B6" w:rsidRDefault="00000000">
      <w:pPr>
        <w:pStyle w:val="Ttulo1"/>
        <w:keepLines w:val="0"/>
      </w:pPr>
      <w:r>
        <w:t>Leitura dos resultados</w:t>
      </w:r>
    </w:p>
    <w:p w:rsidR="007558B6" w:rsidRDefault="00000000">
      <w:r>
        <w:t>A relação direta identificada se refere à infraestrutura digital, especialmente aos data centers. As relações indiretas dizem respeito ao uso de tecnologia para proteção ambiental ou à associação de investimentos ambientais e tecnológicos. Isso não demonstra que as propostas foram aprovadas ou que produziram efeitos ambientais.</w:t>
      </w:r>
    </w:p>
    <w:p w:rsidR="007558B6" w:rsidRDefault="00000000">
      <w:r>
        <w:t>Há uma proposição selecionada de 2024 e quatro de 2025. Nenhuma de 2023 passou pelo filtro. A distribuição descreve apenas os candidatos selecionados, sem permitir concluir que o tema esteve ausente de todo o debate legislativo de 2023.</w:t>
      </w:r>
    </w:p>
    <w:p w:rsidR="007558B6" w:rsidRDefault="00000000">
      <w:pPr>
        <w:pStyle w:val="Ttulo1"/>
        <w:keepLines w:val="0"/>
      </w:pPr>
      <w:r>
        <w:t>Fonte e consulta das proposições</w:t>
      </w:r>
    </w:p>
    <w:p w:rsidR="007558B6" w:rsidRDefault="00000000">
      <w:r>
        <w:rPr>
          <w:sz w:val="18"/>
        </w:rPr>
        <w:t>Fonte: arquivos de coleta, classificação e revisão do projeto; API de Dados Abertos da Câmara dos Deputados.</w:t>
      </w:r>
    </w:p>
    <w:p w:rsidR="007558B6" w:rsidRDefault="007558B6">
      <w:pPr>
        <w:spacing w:after="40"/>
      </w:pPr>
      <w:hyperlink r:id="rId9">
        <w:r>
          <w:rPr>
            <w:color w:val="0563C1"/>
            <w:u w:val="single"/>
          </w:rPr>
          <w:t>PL 3604/2024 — registro na API da Câmara</w:t>
        </w:r>
      </w:hyperlink>
    </w:p>
    <w:p w:rsidR="007558B6" w:rsidRDefault="007558B6">
      <w:pPr>
        <w:spacing w:after="40"/>
      </w:pPr>
      <w:hyperlink r:id="rId10">
        <w:r>
          <w:rPr>
            <w:color w:val="0563C1"/>
            <w:u w:val="single"/>
          </w:rPr>
          <w:t>PL 2080/2025 — registro na API da Câmara</w:t>
        </w:r>
      </w:hyperlink>
    </w:p>
    <w:p w:rsidR="007558B6" w:rsidRDefault="007558B6">
      <w:pPr>
        <w:spacing w:after="40"/>
      </w:pPr>
      <w:hyperlink r:id="rId11">
        <w:r>
          <w:rPr>
            <w:color w:val="0563C1"/>
            <w:u w:val="single"/>
          </w:rPr>
          <w:t>PL 4621/2025 — registro na API da Câmara</w:t>
        </w:r>
      </w:hyperlink>
    </w:p>
    <w:p w:rsidR="007558B6" w:rsidRDefault="007558B6">
      <w:pPr>
        <w:spacing w:after="40"/>
      </w:pPr>
      <w:hyperlink r:id="rId12">
        <w:r>
          <w:rPr>
            <w:color w:val="0563C1"/>
            <w:u w:val="single"/>
          </w:rPr>
          <w:t>PL 6102/2025 — registro na API da Câmara</w:t>
        </w:r>
      </w:hyperlink>
    </w:p>
    <w:p w:rsidR="007558B6" w:rsidRDefault="007558B6">
      <w:pPr>
        <w:spacing w:after="40"/>
      </w:pPr>
      <w:hyperlink r:id="rId13">
        <w:r>
          <w:rPr>
            <w:color w:val="0563C1"/>
            <w:u w:val="single"/>
          </w:rPr>
          <w:t>PLP 280/2025 — registro na API da Câmara</w:t>
        </w:r>
      </w:hyperlink>
    </w:p>
    <w:p w:rsidR="007558B6" w:rsidRDefault="00000000">
      <w:pPr>
        <w:pStyle w:val="Ttulo1"/>
        <w:keepLines w:val="0"/>
        <w:pageBreakBefore/>
      </w:pPr>
      <w:r>
        <w:lastRenderedPageBreak/>
        <w:t>Resultados gráficos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638"/>
      </w:tblGrid>
      <w:tr w:rsidR="0095648D">
        <w:trPr>
          <w:cantSplit/>
        </w:trPr>
        <w:tc>
          <w:tcPr>
            <w:tcW w:w="9638" w:type="dxa"/>
          </w:tcPr>
          <w:p w:rsidR="007558B6" w:rsidRDefault="00000000">
            <w:pPr>
              <w:keepNext/>
              <w:keepLines/>
              <w:spacing w:before="60" w:after="8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220000" cy="298285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98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spacing w:before="60" w:after="80"/>
            </w:pPr>
            <w:r>
              <w:rPr>
                <w:b/>
              </w:rPr>
              <w:t>Figura 1. Relação ambiental das cinco proposições.</w:t>
            </w:r>
          </w:p>
          <w:p w:rsidR="007558B6" w:rsidRDefault="00000000">
            <w:pPr>
              <w:keepLines/>
              <w:spacing w:before="60" w:after="80"/>
            </w:pPr>
            <w:r>
              <w:t>Direta: 2; indireta: 2; ausente: 1; incerta: 0.</w:t>
            </w:r>
          </w:p>
        </w:tc>
      </w:tr>
      <w:tr w:rsidR="0095648D">
        <w:trPr>
          <w:cantSplit/>
        </w:trPr>
        <w:tc>
          <w:tcPr>
            <w:tcW w:w="9638" w:type="dxa"/>
          </w:tcPr>
          <w:p w:rsidR="007558B6" w:rsidRDefault="00000000">
            <w:pPr>
              <w:keepNext/>
              <w:keepLines/>
              <w:spacing w:before="60" w:after="8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220000" cy="2982857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98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spacing w:before="60" w:after="80"/>
            </w:pPr>
            <w:r>
              <w:rPr>
                <w:b/>
              </w:rPr>
              <w:t>Figura 2. Temas atribuídos pelo classificador.</w:t>
            </w:r>
          </w:p>
          <w:p w:rsidR="007558B6" w:rsidRDefault="00000000">
            <w:pPr>
              <w:keepLines/>
              <w:spacing w:before="60" w:after="80"/>
            </w:pPr>
            <w:r>
              <w:t>Meio ambiente: 4; energia: 3; clima e emissões: 1. Uma proposição pode receber mais de um tema. São rótulos do GPT: “Energia” no PLP 280/2025 não é uma menção literal da ementa e deve ser lida com cautela.</w:t>
            </w:r>
          </w:p>
        </w:tc>
      </w:tr>
      <w:tr w:rsidR="0095648D">
        <w:trPr>
          <w:cantSplit/>
        </w:trPr>
        <w:tc>
          <w:tcPr>
            <w:tcW w:w="9638" w:type="dxa"/>
          </w:tcPr>
          <w:p w:rsidR="007558B6" w:rsidRDefault="00000000">
            <w:pPr>
              <w:keepNext/>
              <w:keepLines/>
              <w:spacing w:before="6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220000" cy="29828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98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spacing w:before="60" w:after="80"/>
            </w:pPr>
            <w:r>
              <w:rPr>
                <w:b/>
              </w:rPr>
              <w:t>Figura 3. Pesos médios TF-IDF no vocabulário temático.</w:t>
            </w:r>
          </w:p>
          <w:p w:rsidR="007558B6" w:rsidRDefault="00000000">
            <w:pPr>
              <w:keepLines/>
              <w:spacing w:before="60" w:after="80"/>
            </w:pPr>
            <w:r>
              <w:t>Os maiores pesos são de “inteligência artificial”, “tecnologia” e “sustentabilidade”. Os valores indicam relevância textual no vocabulário escolhido, não intensidade de impacto ambiental. “Água” aparece por “marca d’água”, sem indicar consumo hídrico.</w:t>
            </w:r>
          </w:p>
        </w:tc>
      </w:tr>
    </w:tbl>
    <w:p w:rsidR="007558B6" w:rsidRDefault="00000000">
      <w:pPr>
        <w:pStyle w:val="Ttulo1"/>
        <w:keepLines w:val="0"/>
      </w:pPr>
      <w:r>
        <w:t>Limitações e alcance da resposta</w:t>
      </w:r>
    </w:p>
    <w:p w:rsidR="007558B6" w:rsidRDefault="00000000">
      <w:r>
        <w:t>A pesquisa é exploratória e se limita às ementas e aos candidatos encontrados pelo filtro. As palavras-chave podem incluir falsos positivos ou deixar de recuperar proposições relevantes com outras expressões. O TF-IDF considera apenas um vocabulário predefinido, com expressões de até três palavras, incluindo infraestrutura digital e computação em nuvem. Seus pesos descrevem o vocabulário dos textos selecionados, não a intensidade dos impactos ambientais. A correspondência dos termos também depende da forma escrita: data center está no vocabulário, mas a forma plural data centers não recebe o peso dessa expressão.</w:t>
      </w:r>
    </w:p>
    <w:p w:rsidR="007558B6" w:rsidRDefault="00000000">
      <w:r>
        <w:t>A presença literal das evidências permite conferir a origem dos trechos, mas não comprova a correção dos temas ou classificações. A concordância entre duas avaliações do mesmo modelo também pode repetir interpretações sem apoio explícito no texto: o tema Energia foi atribuído ao PLP 280/2025 nas duas avaliações, embora sua ementa mencione licenciamento ambiental, sem referência específica à energia. Os resultados não medem impactos ambientais reais, não substituem a leitura do inteiro teor e não representam um levantamento exaustivo da legislação sobre IA e ambiente.</w:t>
      </w:r>
    </w:p>
    <w:p w:rsidR="0095648D" w:rsidRDefault="00000000">
      <w:pPr>
        <w:pStyle w:val="Ttulo1"/>
        <w:keepLines w:val="0"/>
      </w:pPr>
      <w:r>
        <w:t>Conclusão</w:t>
      </w:r>
    </w:p>
    <w:p w:rsidR="007558B6" w:rsidRDefault="00000000">
      <w:r>
        <w:t>Os resultados indicam que, nas cinco ementas selecionadas, a abordagem ambiental direta se concentra em eficiência energética, sustentabilidade e licenciamento de data centers. Os gráficos mostram igual número de relações diretas e indiretas, predominância de propostas de 2025 e de projetos de lei, além do destaque dos rótulos Meio ambiente e Energia. O TF-IDF complementa essa leitura ao destacar inteligência artificial, tecnologia e sustentabilidade no vocabulário escolhido. A ocorrência de água em marca d’água mostra por que os pesos e as palavras-chave precisam ser interpretados no contexto. Assim, o conjunto não oferece evidência de abordagem direta do consumo hídrico nas ementas, mas essa ausência não permite concluir que o tema esteja ausente de todo o debate legislativo.</w:t>
      </w:r>
    </w:p>
    <w:p w:rsidR="007558B6" w:rsidRDefault="00000000">
      <w:r>
        <w:rPr>
          <w:sz w:val="18"/>
        </w:rPr>
        <w:t>Fonte de todos os gráficos: outputs/05_visualizacao do projeto, gerados a partir das cinco ementas classificadas.</w:t>
      </w:r>
    </w:p>
    <w:sectPr w:rsidR="007558B6" w:rsidSect="00034616">
      <w:headerReference w:type="default" r:id="rId17"/>
      <w:footerReference w:type="default" r:id="rId18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92922" w:rsidRDefault="00992922">
      <w:pPr>
        <w:spacing w:after="0" w:line="240" w:lineRule="auto"/>
      </w:pPr>
      <w:r>
        <w:separator/>
      </w:r>
    </w:p>
  </w:endnote>
  <w:endnote w:type="continuationSeparator" w:id="0">
    <w:p w:rsidR="00992922" w:rsidRDefault="00992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558B6" w:rsidRDefault="007558B6">
    <w:pPr>
      <w:pStyle w:val="Rodap"/>
      <w:jc w:val="center"/>
    </w:pPr>
    <w:r>
      <w:fldChar w:fldCharType="begin"/>
    </w:r>
    <w:r>
      <w:instrText>PAGE</w:instrText>
    </w:r>
    <w:r>
      <w:fldChar w:fldCharType="separate"/>
    </w:r>
    <w:r w:rsidR="00625D1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92922" w:rsidRDefault="00992922">
      <w:pPr>
        <w:spacing w:after="0" w:line="240" w:lineRule="auto"/>
      </w:pPr>
      <w:r>
        <w:separator/>
      </w:r>
    </w:p>
  </w:footnote>
  <w:footnote w:type="continuationSeparator" w:id="0">
    <w:p w:rsidR="00992922" w:rsidRDefault="009929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5648D" w:rsidRDefault="00000000">
    <w:pPr>
      <w:jc w:val="right"/>
    </w:pPr>
    <w:r>
      <w:rPr>
        <w:color w:val="666666"/>
        <w:sz w:val="16"/>
      </w:rPr>
      <w:t>Charles Luiz de Souza Mendes | Relatório NetLab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29164">
    <w:abstractNumId w:val="8"/>
  </w:num>
  <w:num w:numId="2" w16cid:durableId="1814249349">
    <w:abstractNumId w:val="6"/>
  </w:num>
  <w:num w:numId="3" w16cid:durableId="1271931755">
    <w:abstractNumId w:val="5"/>
  </w:num>
  <w:num w:numId="4" w16cid:durableId="30767830">
    <w:abstractNumId w:val="4"/>
  </w:num>
  <w:num w:numId="5" w16cid:durableId="1896772654">
    <w:abstractNumId w:val="7"/>
  </w:num>
  <w:num w:numId="6" w16cid:durableId="1358123188">
    <w:abstractNumId w:val="3"/>
  </w:num>
  <w:num w:numId="7" w16cid:durableId="1231308288">
    <w:abstractNumId w:val="2"/>
  </w:num>
  <w:num w:numId="8" w16cid:durableId="682711019">
    <w:abstractNumId w:val="1"/>
  </w:num>
  <w:num w:numId="9" w16cid:durableId="554241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1DDA"/>
    <w:rsid w:val="00326F90"/>
    <w:rsid w:val="00453F37"/>
    <w:rsid w:val="004E4CFF"/>
    <w:rsid w:val="00517949"/>
    <w:rsid w:val="005441F5"/>
    <w:rsid w:val="005878EE"/>
    <w:rsid w:val="00625D12"/>
    <w:rsid w:val="00724741"/>
    <w:rsid w:val="007558B6"/>
    <w:rsid w:val="007C5989"/>
    <w:rsid w:val="00846081"/>
    <w:rsid w:val="0095648D"/>
    <w:rsid w:val="00992922"/>
    <w:rsid w:val="00A530D1"/>
    <w:rsid w:val="00AA1D8D"/>
    <w:rsid w:val="00B47730"/>
    <w:rsid w:val="00CB0664"/>
    <w:rsid w:val="00E36549"/>
    <w:rsid w:val="00E70970"/>
    <w:rsid w:val="00F31213"/>
    <w:rsid w:val="00FC684A"/>
    <w:rsid w:val="00FC693F"/>
    <w:rsid w:val="00FE0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26DA08"/>
  <w14:defaultImageDpi w14:val="300"/>
  <w15:docId w15:val="{D439400B-07E0-7D46-A127-169450F66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3D5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/>
      <w:b/>
      <w:color w:val="17324D"/>
      <w:spacing w:val="5"/>
      <w:kern w:val="28"/>
      <w:sz w:val="4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after="140" w:line="240" w:lineRule="auto"/>
    </w:pPr>
    <w:rPr>
      <w:bCs/>
      <w:color w:val="555555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21DD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21DD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21DD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drive/1Fms8a918A7ZIzj1D3MTcFme5DnHElREB?usp=sharing" TargetMode="External"/><Relationship Id="rId13" Type="http://schemas.openxmlformats.org/officeDocument/2006/relationships/hyperlink" Target="https://dadosabertos.camara.leg.br/api/v2/proposicoes/259913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dosabertos.camara.leg.br/api/v2/proposicoes/2591093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dosabertos.camara.leg.br/api/v2/proposicoes/256137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dadosabertos.camara.leg.br/api/v2/proposicoes/2503790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adosabertos.camara.leg.br/api/v2/proposicoes/2458566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1441</Words>
  <Characters>7787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Pesquisa para a NetLab — Impactos ambientais da IA e da infraestrutura digital</vt:lpstr>
      <vt:lpstr/>
    </vt:vector>
  </TitlesOfParts>
  <Manager/>
  <Company/>
  <LinksUpToDate>false</LinksUpToDate>
  <CharactersWithSpaces>9210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para a NetLab — Impactos ambientais da IA e da infraestrutura digital</dc:title>
  <dc:subject>Pergunta, metodologia, resultados e gráficos — 2023–2025</dc:subject>
  <dc:creator>Charles Luiz de Souza Mendes</dc:creator>
  <cp:keywords/>
  <dc:description>generated by python-docx</dc:description>
  <cp:lastModifiedBy>Charles Mendes</cp:lastModifiedBy>
  <cp:revision>5</cp:revision>
  <cp:lastPrinted>2026-09-16T00:34:00Z</cp:lastPrinted>
  <dcterms:created xsi:type="dcterms:W3CDTF">2026-09-16T00:34:00Z</dcterms:created>
  <dcterms:modified xsi:type="dcterms:W3CDTF">2026-09-17T06:25:00Z</dcterms:modified>
  <cp:category/>
</cp:coreProperties>
</file>