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val="0"/>
          <w:i w:val="0"/>
          <w:sz w:val="22"/>
        </w:rPr>
        <w:t>Offer Valuation Basis</w:t>
      </w:r>
    </w:p>
    <w:p>
      <w:pPr>
        <w:spacing w:after="160"/>
        <w:pBdr>
          <w:bottom w:val="single" w:sz="6" w:space="1" w:color="2E4057"/>
        </w:pBdr>
      </w:pPr>
    </w:p>
    <w:p>
      <w:pPr>
        <w:spacing w:after="60" w:before="0"/>
        <w:jc w:val="left"/>
      </w:pPr>
      <w:r>
        <w:rPr>
          <w:b/>
          <w:i w:val="0"/>
          <w:sz w:val="22"/>
        </w:rPr>
        <w:t>Property: 5511 Cruz Road, Jacksonville, FL 32207 (Spring Glen)</w:t>
      </w:r>
    </w:p>
    <w:p>
      <w:pPr>
        <w:spacing w:after="160" w:before="0"/>
        <w:jc w:val="left"/>
      </w:pPr>
      <w:r>
        <w:rPr>
          <w:b w:val="0"/>
          <w:i w:val="0"/>
          <w:sz w:val="21"/>
        </w:rPr>
        <w:t>3 bed / 2 bath  •  1,185 sq ft  •  Built 1938  •  Sold AS-IS, cash/renovation-loan only (will not pass 4-point)</w:t>
      </w:r>
    </w:p>
    <w:p>
      <w:pPr>
        <w:spacing w:after="200" w:before="0"/>
        <w:jc w:val="left"/>
      </w:pPr>
      <w:r>
        <w:rPr>
          <w:b/>
          <w:i w:val="0"/>
          <w:color w:val="2E4057"/>
          <w:sz w:val="22"/>
        </w:rPr>
        <w:t>Cash Offer: $115,000  —  as-is, no financing or inspection contingency, quick close, proof of funds on hand.</w:t>
      </w:r>
    </w:p>
    <w:p>
      <w:pPr>
        <w:spacing w:after="160"/>
        <w:pBdr>
          <w:bottom w:val="single" w:sz="6" w:space="1" w:color="2E4057"/>
        </w:pBdr>
      </w:pPr>
    </w:p>
    <w:p>
      <w:pPr>
        <w:spacing w:after="80" w:before="0"/>
        <w:jc w:val="left"/>
      </w:pPr>
      <w:r>
        <w:rPr>
          <w:b/>
          <w:i w:val="0"/>
          <w:sz w:val="22"/>
        </w:rPr>
        <w:t>1.  The Property's Own Sale History Is the Most Accurate Comp</w:t>
      </w:r>
    </w:p>
    <w:p>
      <w:pPr>
        <w:spacing w:after="80" w:before="0"/>
        <w:jc w:val="left"/>
      </w:pPr>
      <w:r>
        <w:rPr>
          <w:b w:val="0"/>
          <w:i w:val="0"/>
          <w:sz w:val="21"/>
        </w:rPr>
        <w:t>Because it is the identical home, this property's documented sales tell the story directly:</w:t>
      </w:r>
    </w:p>
    <w:p>
      <w:pPr>
        <w:spacing w:after="60"/>
        <w:ind w:left="432"/>
      </w:pPr>
      <w:r>
        <w:rPr>
          <w:sz w:val="21"/>
        </w:rPr>
        <w:t>•  Oct 2020 — sold AS-IS for $100,000 (public record).</w:t>
      </w:r>
    </w:p>
    <w:p>
      <w:pPr>
        <w:spacing w:after="60"/>
        <w:ind w:left="432"/>
      </w:pPr>
      <w:r>
        <w:rPr>
          <w:sz w:val="21"/>
        </w:rPr>
        <w:t>•  Nov 2020 — sold AS-IS for $115,000 (public record).</w:t>
      </w:r>
    </w:p>
    <w:p>
      <w:pPr>
        <w:spacing w:after="60"/>
        <w:ind w:left="432"/>
      </w:pPr>
      <w:r>
        <w:rPr>
          <w:sz w:val="21"/>
        </w:rPr>
        <w:t>•  2021 — resold for $198,500 AFTER full renovation. This documents the renovated (ARV) value — and the work required to reach it.</w:t>
      </w:r>
    </w:p>
    <w:p>
      <w:pPr>
        <w:spacing w:after="160" w:before="0"/>
        <w:jc w:val="left"/>
      </w:pPr>
      <w:r>
        <w:rPr>
          <w:b w:val="0"/>
          <w:i/>
          <w:sz w:val="21"/>
        </w:rPr>
        <w:t>Our $115,000 cash offer mirrors this home's own documented as-is sale price — for a property that today carries additional 4-point findings it did not have then.</w:t>
      </w:r>
    </w:p>
    <w:p>
      <w:pPr>
        <w:spacing w:after="80" w:before="0"/>
        <w:jc w:val="left"/>
      </w:pPr>
      <w:r>
        <w:rPr>
          <w:b/>
          <w:i w:val="0"/>
          <w:sz w:val="22"/>
        </w:rPr>
        <w:t>2.  Current Condition Removes Standard Buyers</w:t>
      </w:r>
    </w:p>
    <w:p>
      <w:pPr>
        <w:spacing w:after="60"/>
        <w:ind w:left="432"/>
      </w:pPr>
      <w:r>
        <w:rPr>
          <w:sz w:val="21"/>
        </w:rPr>
        <w:t>•  Listing states the home WILL NOT qualify for standard financing due to 4-point inspection findings (roof / electrical / plumbing / HVAC).</w:t>
      </w:r>
    </w:p>
    <w:p>
      <w:pPr>
        <w:spacing w:after="60"/>
        <w:ind w:left="432"/>
      </w:pPr>
      <w:r>
        <w:rPr>
          <w:sz w:val="21"/>
        </w:rPr>
        <w:t>•  Sold strictly AS-IS for cash or renovation loan only; not insurable under a standard policy in current condition.</w:t>
      </w:r>
    </w:p>
    <w:p>
      <w:pPr>
        <w:spacing w:after="60"/>
        <w:ind w:left="432"/>
      </w:pPr>
      <w:r>
        <w:rPr>
          <w:sz w:val="21"/>
        </w:rPr>
        <w:t>•  Built 1938 on a septic system — full renovation scope to reach the $198,500 renovated value.</w:t>
      </w:r>
    </w:p>
    <w:p>
      <w:pPr>
        <w:spacing w:after="80" w:before="0"/>
        <w:jc w:val="left"/>
      </w:pPr>
      <w:r>
        <w:rPr>
          <w:b/>
          <w:i w:val="0"/>
          <w:sz w:val="22"/>
        </w:rPr>
        <w:t>3.  The Market Has Already Responded</w:t>
      </w:r>
    </w:p>
    <w:p>
      <w:pPr>
        <w:spacing w:after="60"/>
        <w:ind w:left="432"/>
      </w:pPr>
      <w:r>
        <w:rPr>
          <w:sz w:val="21"/>
        </w:rPr>
        <w:t>•  On market 91 days with 942 views / 69 saves and no successful close.</w:t>
      </w:r>
    </w:p>
    <w:p>
      <w:pPr>
        <w:spacing w:after="60"/>
        <w:ind w:left="432"/>
      </w:pPr>
      <w:r>
        <w:rPr>
          <w:sz w:val="21"/>
        </w:rPr>
        <w:t>•  $20,000 in price reductions: listed $200,000 (3/17) -&gt; $193,500 -&gt; $180,000 (5/19).</w:t>
      </w:r>
    </w:p>
    <w:p>
      <w:pPr>
        <w:spacing w:after="60"/>
        <w:ind w:left="432"/>
      </w:pPr>
      <w:r>
        <w:rPr>
          <w:sz w:val="21"/>
        </w:rPr>
        <w:t>•  TWO accepted contracts have fallen through (pending 4/6 and 4/30, both returned to market) — consistent with buyers unable to secure financing or insurance on the 4-point findings.</w:t>
      </w:r>
    </w:p>
    <w:p>
      <w:pPr>
        <w:spacing w:after="160"/>
        <w:pBdr>
          <w:bottom w:val="single" w:sz="6" w:space="1" w:color="2E4057"/>
        </w:pBdr>
      </w:pPr>
    </w:p>
    <w:p>
      <w:pPr>
        <w:spacing w:after="80" w:before="0"/>
        <w:jc w:val="left"/>
      </w:pPr>
      <w:r>
        <w:rPr>
          <w:b/>
          <w:i w:val="0"/>
          <w:sz w:val="22"/>
        </w:rPr>
        <w:t>Conclusion</w:t>
      </w:r>
    </w:p>
    <w:p>
      <w:pPr>
        <w:spacing w:after="120" w:before="0"/>
        <w:jc w:val="left"/>
      </w:pPr>
      <w:r>
        <w:rPr>
          <w:b w:val="0"/>
          <w:i w:val="0"/>
          <w:sz w:val="21"/>
        </w:rPr>
        <w:t>At $115,000 cash, as-is, with no financing or inspection contingency, Paragon offers the seller exactly what the last two contracts could not deliver: a guaranteed, fast close that is not dependent on financing or insurability. The number reflects this home's own documented as-is value plus the renovation required to make it financeable. We are glad to review any renovated comparable sales the listing side wishes to provide, and to refine upon receipt of the 4-point findings.</w:t>
      </w:r>
    </w:p>
    <w:p>
      <w:pPr>
        <w:spacing w:after="0" w:before="0"/>
        <w:jc w:val="left"/>
      </w:pPr>
      <w:r>
        <w:rPr>
          <w:b/>
          <w:i w:val="0"/>
          <w:sz w:val="20"/>
        </w:rPr>
        <w:t>Charles E. Pleasant, Managing Member — Paragon Government Solutions LLC</w:t>
      </w:r>
    </w:p>
    <w:sectPr w:rsidR="00FC693F" w:rsidRPr="0006063C" w:rsidSect="00034616">
      <w:headerReference w:type="default" r:id="rId9"/>
      <w:footerReference w:type="default" r:id="rId10"/>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color w:val="2E4057"/>
        <w:sz w:val="16"/>
      </w:rPr>
      <w:t>Paragon Government Solutions LLC</w:t>
      <w:br/>
    </w:r>
    <w:r>
      <w:rPr>
        <w:color w:val="555555"/>
        <w:sz w:val="15"/>
      </w:rPr>
      <w:t>11166 Fairfax Blvd, Suite 500, Fairfax, VA 22030  |  (888) 495-6935  |  charlesp@paragongovsolutions.net</w:t>
      <w:br/>
    </w:r>
    <w:r>
      <w:rPr>
        <w:color w:val="555555"/>
        <w:sz w:val="15"/>
      </w:rPr>
      <w:t>UEI: FSCZBK8CBV82  |  CAGE: 9WX69  |  paragongovsolutions.net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paragon_logo.png"/>
                  <pic:cNvPicPr/>
                </pic:nvPicPr>
                <pic:blipFill>
                  <a:blip r:embed="rId1"/>
                  <a:stretch>
                    <a:fillRect/>
                  </a:stretch>
                </pic:blipFill>
                <pic:spPr>
                  <a:xfrm>
                    <a:off x="0" y="0"/>
                    <a:ext cx="777240" cy="7772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