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val="0"/>
          <w:i w:val="0"/>
          <w:sz w:val="21"/>
        </w:rPr>
        <w:t>Completed Offer Terms — Louisiana Agreement to Purchase and Sell</w:t>
      </w:r>
    </w:p>
    <w:p>
      <w:pPr>
        <w:spacing w:after="160"/>
        <w:pBdr>
          <w:bottom w:val="single" w:sz="6" w:space="1" w:color="2E4057"/>
        </w:pBdr>
      </w:pPr>
    </w:p>
    <w:p>
      <w:pPr>
        <w:spacing w:after="160" w:before="0"/>
        <w:jc w:val="left"/>
      </w:pPr>
      <w:r>
        <w:rPr>
          <w:b w:val="0"/>
          <w:i/>
          <w:sz w:val="20"/>
        </w:rPr>
        <w:t>Transcribe these values onto the official LA Agreement to Purchase and Sell (or enter in DocuSign). Line numbers reference that form.</w:t>
      </w:r>
    </w:p>
    <w:p>
      <w:pPr>
        <w:spacing w:before="160" w:after="80"/>
      </w:pPr>
      <w:r>
        <w:rPr>
          <w:b/>
          <w:color w:val="2E4057"/>
          <w:sz w:val="23"/>
        </w:rPr>
        <w:t>PROPERTY (Page 2, Lines 1–11)</w:t>
      </w:r>
    </w:p>
    <w:p>
      <w:pPr>
        <w:spacing w:after="60"/>
        <w:ind w:left="288"/>
      </w:pPr>
      <w:r>
        <w:rPr>
          <w:b/>
          <w:sz w:val="21"/>
        </w:rPr>
        <w:t xml:space="preserve">Municipal Address (Line 2):  </w:t>
      </w:r>
      <w:r>
        <w:rPr>
          <w:sz w:val="21"/>
        </w:rPr>
        <w:t>5223 Everett Ln, Apt D</w:t>
      </w:r>
    </w:p>
    <w:p>
      <w:pPr>
        <w:spacing w:after="60"/>
        <w:ind w:left="288"/>
      </w:pPr>
      <w:r>
        <w:rPr>
          <w:b/>
          <w:sz w:val="21"/>
        </w:rPr>
        <w:t xml:space="preserve">City (Line 3):  </w:t>
      </w:r>
      <w:r>
        <w:rPr>
          <w:sz w:val="21"/>
        </w:rPr>
        <w:t>Baton Rouge</w:t>
      </w:r>
    </w:p>
    <w:p>
      <w:pPr>
        <w:spacing w:after="60"/>
        <w:ind w:left="288"/>
      </w:pPr>
      <w:r>
        <w:rPr>
          <w:b/>
          <w:sz w:val="21"/>
        </w:rPr>
        <w:t xml:space="preserve">Zip (Line 3):  </w:t>
      </w:r>
      <w:r>
        <w:rPr>
          <w:sz w:val="21"/>
        </w:rPr>
        <w:t>70809</w:t>
      </w:r>
    </w:p>
    <w:p>
      <w:pPr>
        <w:spacing w:after="60"/>
        <w:ind w:left="288"/>
      </w:pPr>
      <w:r>
        <w:rPr>
          <w:b/>
          <w:sz w:val="21"/>
        </w:rPr>
        <w:t xml:space="preserve">Parish (Line 3):  </w:t>
      </w:r>
      <w:r>
        <w:rPr>
          <w:sz w:val="21"/>
        </w:rPr>
        <w:t>East Baton Rouge</w:t>
      </w:r>
    </w:p>
    <w:p>
      <w:pPr>
        <w:spacing w:after="60"/>
        <w:ind w:left="288"/>
      </w:pPr>
      <w:r>
        <w:rPr>
          <w:b/>
          <w:sz w:val="21"/>
        </w:rPr>
        <w:t xml:space="preserve">Property type:  </w:t>
      </w:r>
      <w:r>
        <w:rPr>
          <w:sz w:val="21"/>
        </w:rPr>
        <w:t>Condominium Unit (2 bed / 2 bath, 1,151 sq ft, built 1981)</w:t>
      </w:r>
      <w:r>
        <w:rPr>
          <w:i/>
          <w:color w:val="808080"/>
          <w:sz w:val="19"/>
        </w:rPr>
        <w:t xml:space="preserve">   — note the unit + any deeded parking/storage in legal description</w:t>
      </w:r>
    </w:p>
    <w:p>
      <w:pPr>
        <w:spacing w:before="160" w:after="80"/>
      </w:pPr>
      <w:r>
        <w:rPr>
          <w:b/>
          <w:color w:val="2E4057"/>
          <w:sz w:val="23"/>
        </w:rPr>
        <w:t>PURCHASE PRICE (Page 2, Lines 12–15)</w:t>
      </w:r>
    </w:p>
    <w:p>
      <w:pPr>
        <w:spacing w:after="60"/>
        <w:ind w:left="288"/>
      </w:pPr>
      <w:r>
        <w:rPr>
          <w:b/>
          <w:sz w:val="21"/>
        </w:rPr>
        <w:t xml:space="preserve">Purchase Price (Line 13):  </w:t>
      </w:r>
      <w:r>
        <w:rPr>
          <w:sz w:val="21"/>
        </w:rPr>
        <w:t>$107,500.00  (One Hundred Seven Thousand Five Hundred and 00/100 Dollars)</w:t>
      </w:r>
    </w:p>
    <w:p>
      <w:pPr>
        <w:spacing w:after="60"/>
        <w:ind w:left="288"/>
      </w:pPr>
      <w:r>
        <w:rPr>
          <w:b/>
          <w:sz w:val="21"/>
        </w:rPr>
        <w:t xml:space="preserve">Payable:  </w:t>
      </w:r>
      <w:r>
        <w:rPr>
          <w:sz w:val="21"/>
        </w:rPr>
        <w:t>Cash / immediately available funds at Closing</w:t>
      </w:r>
    </w:p>
    <w:p>
      <w:pPr>
        <w:spacing w:before="160" w:after="80"/>
      </w:pPr>
      <w:r>
        <w:rPr>
          <w:b/>
          <w:color w:val="2E4057"/>
          <w:sz w:val="23"/>
        </w:rPr>
        <w:t>ACT OF SALE / CLOSING (Page 2, Lines 17–26)</w:t>
      </w:r>
    </w:p>
    <w:p>
      <w:pPr>
        <w:spacing w:after="60"/>
        <w:ind w:left="288"/>
      </w:pPr>
      <w:r>
        <w:rPr>
          <w:b/>
          <w:sz w:val="21"/>
        </w:rPr>
        <w:t xml:space="preserve">Settlement agent selected by:  </w:t>
      </w:r>
      <w:r>
        <w:rPr>
          <w:sz w:val="21"/>
        </w:rPr>
        <w:t>BUYER  (check BUYER)</w:t>
      </w:r>
    </w:p>
    <w:p>
      <w:pPr>
        <w:spacing w:after="60"/>
        <w:ind w:left="288"/>
      </w:pPr>
      <w:r>
        <w:rPr>
          <w:b/>
          <w:sz w:val="21"/>
        </w:rPr>
        <w:t xml:space="preserve">Closing date (Line 18):  </w:t>
      </w:r>
      <w:r>
        <w:rPr>
          <w:sz w:val="21"/>
        </w:rPr>
        <w:t>On or before 30 calendar days after the end of the Inspection Period, or earlier by mutual agreement</w:t>
      </w:r>
    </w:p>
    <w:p>
      <w:pPr>
        <w:spacing w:after="60"/>
        <w:ind w:left="288"/>
      </w:pPr>
      <w:r>
        <w:rPr>
          <w:b/>
          <w:sz w:val="21"/>
        </w:rPr>
        <w:t xml:space="preserve">Closing costs:  </w:t>
      </w:r>
      <w:r>
        <w:rPr>
          <w:sz w:val="21"/>
        </w:rPr>
        <w:t>Acknowledged Buyer-paid per Line 23(c) — will transfer to assignee at closing</w:t>
      </w:r>
    </w:p>
    <w:p>
      <w:pPr>
        <w:spacing w:before="160" w:after="80"/>
      </w:pPr>
      <w:r>
        <w:rPr>
          <w:b/>
          <w:color w:val="2E4057"/>
          <w:sz w:val="23"/>
        </w:rPr>
        <w:t>FINANCING (Page 2, Lines 30–32)</w:t>
      </w:r>
    </w:p>
    <w:p>
      <w:pPr>
        <w:spacing w:after="60"/>
        <w:ind w:left="288"/>
      </w:pPr>
      <w:r>
        <w:rPr>
          <w:b/>
          <w:sz w:val="21"/>
        </w:rPr>
        <w:t xml:space="preserve">Financing type:  </w:t>
      </w:r>
      <w:r>
        <w:rPr>
          <w:sz w:val="21"/>
        </w:rPr>
        <w:t>ALL CASH SALE  (check this box — Buyer warrants cash readily available)</w:t>
      </w:r>
    </w:p>
    <w:p>
      <w:pPr>
        <w:spacing w:after="60"/>
        <w:ind w:left="288"/>
      </w:pPr>
      <w:r>
        <w:rPr>
          <w:b/>
          <w:sz w:val="21"/>
        </w:rPr>
        <w:t xml:space="preserve">Financed Sale section:  </w:t>
      </w:r>
      <w:r>
        <w:rPr>
          <w:sz w:val="21"/>
        </w:rPr>
        <w:t>Leave blank / N/A</w:t>
      </w:r>
    </w:p>
    <w:p>
      <w:pPr>
        <w:spacing w:before="160" w:after="80"/>
      </w:pPr>
      <w:r>
        <w:rPr>
          <w:b/>
          <w:color w:val="2E4057"/>
          <w:sz w:val="23"/>
        </w:rPr>
        <w:t>APPRAISAL (Page 3, Line 58)</w:t>
      </w:r>
    </w:p>
    <w:p>
      <w:pPr>
        <w:spacing w:after="60"/>
        <w:ind w:left="288"/>
      </w:pPr>
      <w:r>
        <w:rPr>
          <w:b/>
          <w:sz w:val="21"/>
        </w:rPr>
        <w:t xml:space="preserve">Appraisal contingency:  </w:t>
      </w:r>
      <w:r>
        <w:rPr>
          <w:sz w:val="21"/>
        </w:rPr>
        <w:t>This sale is NOT conditioned on appraisal  (check the NOT box)</w:t>
      </w:r>
    </w:p>
    <w:p>
      <w:pPr>
        <w:spacing w:before="160" w:after="80"/>
      </w:pPr>
      <w:r>
        <w:rPr>
          <w:b/>
          <w:color w:val="2E4057"/>
          <w:sz w:val="23"/>
        </w:rPr>
        <w:t>DEPOSIT (Page 3, Lines 66–73)</w:t>
      </w:r>
    </w:p>
    <w:p>
      <w:pPr>
        <w:spacing w:after="60"/>
        <w:ind w:left="288"/>
      </w:pPr>
      <w:r>
        <w:rPr>
          <w:b/>
          <w:sz w:val="21"/>
        </w:rPr>
        <w:t xml:space="preserve">Deposit amount (Line 68):  </w:t>
      </w:r>
      <w:r>
        <w:rPr>
          <w:sz w:val="21"/>
        </w:rPr>
        <w:t>$1,000.00</w:t>
      </w:r>
    </w:p>
    <w:p>
      <w:pPr>
        <w:spacing w:after="60"/>
        <w:ind w:left="288"/>
      </w:pPr>
      <w:r>
        <w:rPr>
          <w:b/>
          <w:sz w:val="21"/>
        </w:rPr>
        <w:t xml:space="preserve">Form of deposit (Line 70):  </w:t>
      </w:r>
      <w:r>
        <w:rPr>
          <w:sz w:val="21"/>
        </w:rPr>
        <w:t>Certified Funds — $1,000.00</w:t>
      </w:r>
    </w:p>
    <w:p>
      <w:pPr>
        <w:spacing w:after="60"/>
        <w:ind w:left="288"/>
      </w:pPr>
      <w:r>
        <w:rPr>
          <w:b/>
          <w:sz w:val="21"/>
        </w:rPr>
        <w:t xml:space="preserve">Deposit held by (Line 73):  </w:t>
      </w:r>
      <w:r>
        <w:rPr>
          <w:sz w:val="21"/>
        </w:rPr>
        <w:t>Other → the closing title company / settlement agent's escrow account</w:t>
      </w:r>
      <w:r>
        <w:rPr>
          <w:i/>
          <w:color w:val="808080"/>
          <w:sz w:val="19"/>
        </w:rPr>
        <w:t xml:space="preserve">   — preferred: title company, not the broker</w:t>
      </w:r>
    </w:p>
    <w:p>
      <w:pPr>
        <w:spacing w:after="60"/>
        <w:ind w:left="288"/>
      </w:pPr>
      <w:r>
        <w:rPr>
          <w:b/>
          <w:sz w:val="21"/>
        </w:rPr>
        <w:t xml:space="preserve">Delivery:  </w:t>
      </w:r>
      <w:r>
        <w:rPr>
          <w:sz w:val="21"/>
        </w:rPr>
        <w:t>Within 72 hours of acceptance, per form</w:t>
      </w:r>
    </w:p>
    <w:p>
      <w:pPr>
        <w:spacing w:before="160" w:after="80"/>
      </w:pPr>
      <w:r>
        <w:rPr>
          <w:b/>
          <w:color w:val="2E4057"/>
          <w:sz w:val="23"/>
        </w:rPr>
        <w:t>DUE DILIGENCE / INSPECTION PERIOD (Page 4, Lines 79–94)  ★ KEY</w:t>
      </w:r>
    </w:p>
    <w:p>
      <w:pPr>
        <w:spacing w:after="60"/>
        <w:ind w:left="288"/>
      </w:pPr>
      <w:r>
        <w:rPr>
          <w:b/>
          <w:sz w:val="21"/>
        </w:rPr>
        <w:t xml:space="preserve">Inspection Period (Line 79):  </w:t>
      </w:r>
      <w:r>
        <w:rPr>
          <w:sz w:val="21"/>
        </w:rPr>
        <w:t>21 calendar days after the Effective Date</w:t>
      </w:r>
      <w:r>
        <w:rPr>
          <w:i/>
          <w:color w:val="808080"/>
          <w:sz w:val="19"/>
        </w:rPr>
        <w:t xml:space="preserve">   — your escape hatch — cancel for any reason, deposit refunded</w:t>
      </w:r>
    </w:p>
    <w:p>
      <w:pPr>
        <w:spacing w:before="160" w:after="80"/>
      </w:pPr>
      <w:r>
        <w:rPr>
          <w:b/>
          <w:color w:val="2E4057"/>
          <w:sz w:val="23"/>
        </w:rPr>
        <w:t>WARRANTY / AS-IS (Page 4, Lines 114–126)</w:t>
      </w:r>
    </w:p>
    <w:p>
      <w:pPr>
        <w:spacing w:after="60"/>
        <w:ind w:left="288"/>
      </w:pPr>
      <w:r>
        <w:rPr>
          <w:b/>
          <w:sz w:val="21"/>
        </w:rPr>
        <w:t xml:space="preserve">Selection:  </w:t>
      </w:r>
      <w:r>
        <w:rPr>
          <w:sz w:val="21"/>
        </w:rPr>
        <w:t>SALE “AS IS” WITHOUT WARRANTIES (check this box — waiver of redhibition)</w:t>
      </w:r>
    </w:p>
    <w:p>
      <w:pPr>
        <w:spacing w:before="160" w:after="80"/>
      </w:pPr>
      <w:r>
        <w:rPr>
          <w:b/>
          <w:color w:val="2E4057"/>
          <w:sz w:val="23"/>
        </w:rPr>
        <w:t>EXPIRATION OF OFFER (Page 6, Lines 189–190)</w:t>
      </w:r>
    </w:p>
    <w:p>
      <w:pPr>
        <w:spacing w:after="60"/>
        <w:ind w:left="288"/>
      </w:pPr>
      <w:r>
        <w:rPr>
          <w:b/>
          <w:sz w:val="21"/>
        </w:rPr>
        <w:t xml:space="preserve">Binding until (Line 190):  </w:t>
      </w:r>
      <w:r>
        <w:rPr>
          <w:sz w:val="21"/>
        </w:rPr>
        <w:t>3 business days from submission, 5:00 PM (NOON/AM/PM as applicable)</w:t>
      </w:r>
    </w:p>
    <w:p>
      <w:pPr>
        <w:spacing w:before="160" w:after="80"/>
      </w:pPr>
      <w:r>
        <w:rPr>
          <w:b/>
          <w:color w:val="2E4057"/>
          <w:sz w:val="23"/>
        </w:rPr>
        <w:t>BUYER SIGNATURE BLOCK (Page 6, Lines 193–197)</w:t>
      </w:r>
    </w:p>
    <w:p>
      <w:pPr>
        <w:spacing w:after="60"/>
        <w:ind w:left="288"/>
      </w:pPr>
      <w:r>
        <w:rPr>
          <w:b/>
          <w:sz w:val="21"/>
        </w:rPr>
        <w:t xml:space="preserve">Buyer name (exactly as written):  </w:t>
      </w:r>
      <w:r>
        <w:rPr>
          <w:sz w:val="21"/>
        </w:rPr>
        <w:t>Charles Pleasant and/or assigns</w:t>
      </w:r>
      <w:r>
        <w:rPr>
          <w:i/>
          <w:color w:val="808080"/>
          <w:sz w:val="19"/>
        </w:rPr>
        <w:t xml:space="preserve">   — ← the ‘and/or assigns’ is REQUIRED for wholesale</w:t>
      </w:r>
    </w:p>
    <w:p>
      <w:pPr>
        <w:spacing w:after="60"/>
        <w:ind w:left="288"/>
      </w:pPr>
      <w:r>
        <w:rPr>
          <w:b/>
          <w:sz w:val="21"/>
        </w:rPr>
        <w:t xml:space="preserve">Print Buyer's Full Name:  </w:t>
      </w:r>
      <w:r>
        <w:rPr>
          <w:sz w:val="21"/>
        </w:rPr>
        <w:t>Charles E. Pleasant, Managing Member, Paragon Government Solutions LLC</w:t>
      </w:r>
    </w:p>
    <w:p>
      <w:pPr>
        <w:spacing w:before="160" w:after="80"/>
      </w:pPr>
      <w:r>
        <w:rPr>
          <w:b/>
          <w:color w:val="2E4057"/>
          <w:sz w:val="23"/>
        </w:rPr>
        <w:t>ADDITIONAL TERMS AND CONDITIONS (Page 6, Line 182)  ★ PASTE VERBATIM</w:t>
      </w:r>
    </w:p>
    <w:p>
      <w:pPr>
        <w:spacing w:after="80" w:before="0"/>
        <w:jc w:val="left"/>
      </w:pPr>
      <w:r>
        <w:rPr>
          <w:b w:val="0"/>
          <w:i w:val="0"/>
          <w:sz w:val="20"/>
        </w:rPr>
        <w:t>1.  Buyer reserves the right to assign this Agreement, in whole or in part, to any third party or entity prior to closing. Upon assignment, the assignee assumes all rights and obligations of Buyer hereunder, and Buyer shall be released from further obligation.</w:t>
      </w:r>
    </w:p>
    <w:p>
      <w:pPr>
        <w:spacing w:after="80" w:before="0"/>
        <w:jc w:val="left"/>
      </w:pPr>
      <w:r>
        <w:rPr>
          <w:b w:val="0"/>
          <w:i w:val="0"/>
          <w:sz w:val="20"/>
        </w:rPr>
        <w:t>2.  This offer is contingent upon Buyer's review and approval of the condominium association documents during the Inspection Period, including the current operating budget, reserve study, monthly HOA dues, owner-occupancy ratio, delinquency rate, any pending or planned special assessments, and the condominium resale certificate. Seller/Seller's agent to provide these documents within five (5) calendar days of acceptance.</w:t>
      </w:r>
    </w:p>
    <w:p>
      <w:pPr>
        <w:spacing w:after="80" w:before="0"/>
        <w:jc w:val="left"/>
      </w:pPr>
      <w:r>
        <w:rPr>
          <w:b w:val="0"/>
          <w:i w:val="0"/>
          <w:sz w:val="20"/>
        </w:rPr>
        <w:t>3.  Buyer is purchasing for investment purposes and may close via assignment or simultaneous (double) closing. Title and escrow of Buyer's choice. Closing costs per the terms of this Agreement.</w:t>
      </w:r>
    </w:p>
    <w:p>
      <w:pPr>
        <w:spacing w:after="160" w:before="0"/>
        <w:jc w:val="left"/>
      </w:pPr>
      <w:r>
        <w:rPr>
          <w:b w:val="0"/>
          <w:i w:val="0"/>
          <w:sz w:val="20"/>
        </w:rPr>
        <w:t>4.  Earnest money to be deposited with and held by the closing title company's escrow account.</w:t>
      </w:r>
    </w:p>
    <w:p>
      <w:pPr>
        <w:spacing w:after="160"/>
        <w:pBdr>
          <w:bottom w:val="single" w:sz="6" w:space="1" w:color="2E4057"/>
        </w:pBdr>
      </w:pPr>
    </w:p>
    <w:p>
      <w:pPr>
        <w:spacing w:after="40" w:before="0"/>
        <w:jc w:val="left"/>
      </w:pPr>
      <w:r>
        <w:rPr>
          <w:b w:val="0"/>
          <w:i/>
          <w:color w:val="808080"/>
          <w:sz w:val="19"/>
        </w:rPr>
        <w:t>Reminder: confirm the HOA is warrantable (owner-occupancy %, delinquency) BEFORE the Inspection Period lapses. If financials are unfavorable, cancel in writing within the 21-day window to recover the deposit.</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b/>
        <w:color w:val="2E4057"/>
        <w:sz w:val="16"/>
      </w:rPr>
      <w:t>Paragon Government Solutions LLC</w:t>
      <w:br/>
    </w:r>
    <w:r>
      <w:rPr>
        <w:color w:val="555555"/>
        <w:sz w:val="15"/>
      </w:rPr>
      <w:t>11166 Fairfax Blvd, Suite 500, Fairfax, VA 22030  |  (888) 495-6935  |  charlesp@paragongovsolutions.net</w:t>
      <w:br/>
    </w:r>
    <w:r>
      <w:rPr>
        <w:color w:val="555555"/>
        <w:sz w:val="15"/>
      </w:rPr>
      <w:t>UEI: FSCZBK8CBV82  |  CAGE: 9WX69  |  paragongovsolutions.net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paragon_logo.png"/>
                  <pic:cNvPicPr/>
                </pic:nvPicPr>
                <pic:blipFill>
                  <a:blip r:embed="rId1"/>
                  <a:stretch>
                    <a:fillRect/>
                  </a:stretch>
                </pic:blipFill>
                <pic:spPr>
                  <a:xfrm>
                    <a:off x="0" y="0"/>
                    <a:ext cx="777240" cy="77724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