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b/>
          <w:sz w:val="28"/>
        </w:rPr>
        <w:t>PARAGON GOVERNMENT SOLUTIONS LLC</w:t>
      </w:r>
    </w:p>
    <w:p>
      <w:pPr>
        <w:spacing w:after="200" w:before="0"/>
        <w:jc w:val="center"/>
      </w:pPr>
      <w:r>
        <w:rPr>
          <w:b w:val="0"/>
          <w:sz w:val="18"/>
        </w:rPr>
        <w:t>11166 Fairfax Blvd, Suite 500, Fairfax, VA 22030  |  (888) 495-6935  |  charles@paragongovsolutions.net</w:t>
      </w:r>
    </w:p>
    <w:p>
      <w:pPr>
        <w:spacing w:after="160"/>
        <w:pBdr>
          <w:bottom w:val="single" w:sz="6" w:space="1" w:color="2E4057"/>
        </w:pBdr>
      </w:pPr>
    </w:p>
    <w:p>
      <w:pPr>
        <w:spacing w:after="80" w:before="0"/>
        <w:jc w:val="center"/>
      </w:pPr>
      <w:r>
        <w:rPr>
          <w:b/>
          <w:sz w:val="26"/>
        </w:rPr>
        <w:t>REAL ESTATE PURCHASE AND SALE AGREEMENT (ASSIGNABLE)</w:t>
      </w:r>
    </w:p>
    <w:p>
      <w:pPr>
        <w:spacing w:after="200" w:before="0"/>
        <w:jc w:val="center"/>
      </w:pPr>
      <w:r>
        <w:rPr>
          <w:b w:val="0"/>
          <w:sz w:val="20"/>
        </w:rPr>
        <w:t>State of Louisiana</w:t>
      </w:r>
    </w:p>
    <w:p>
      <w:pPr>
        <w:spacing w:after="120" w:before="0"/>
        <w:jc w:val="left"/>
      </w:pPr>
      <w:r>
        <w:rPr>
          <w:b w:val="0"/>
          <w:sz w:val="21"/>
        </w:rPr>
        <w:t>This Real Estate Purchase and Sale Agreement (“Agreement”) is entered into as of ____________, 2026, by and between:</w:t>
      </w:r>
    </w:p>
    <w:p>
      <w:pPr>
        <w:spacing w:after="60" w:before="0"/>
        <w:jc w:val="left"/>
      </w:pPr>
      <w:r>
        <w:rPr>
          <w:b w:val="0"/>
          <w:sz w:val="21"/>
        </w:rPr>
        <w:t>SELLER: ______________________________________________ (the bank/lender or its REO seller) (“Seller”)</w:t>
      </w:r>
    </w:p>
    <w:p>
      <w:pPr>
        <w:spacing w:after="160" w:before="0"/>
        <w:jc w:val="left"/>
      </w:pPr>
      <w:r>
        <w:rPr>
          <w:b/>
          <w:sz w:val="21"/>
        </w:rPr>
        <w:t>BUYER: Paragon Government Solutions LLC, and/or assigns (“Buyer”)</w:t>
      </w:r>
    </w:p>
    <w:p>
      <w:pPr>
        <w:spacing w:after="100"/>
      </w:pPr>
      <w:r>
        <w:rPr>
          <w:b/>
          <w:sz w:val="21"/>
        </w:rPr>
        <w:t xml:space="preserve">1. PROPERTY.  </w:t>
      </w:r>
      <w:r>
        <w:rPr>
          <w:sz w:val="21"/>
        </w:rPr>
        <w:t>Seller agrees to sell and Buyer agrees to buy the real property commonly known as 2758 Badley Rd, Baton Rouge, LA 70807 (East Baton Rouge Parish), together with all improvements and fixtures (the “Property”).</w:t>
      </w:r>
    </w:p>
    <w:p>
      <w:pPr>
        <w:spacing w:after="100"/>
      </w:pPr>
      <w:r>
        <w:rPr>
          <w:b/>
          <w:sz w:val="21"/>
        </w:rPr>
        <w:t xml:space="preserve">2. PURCHASE PRICE.  </w:t>
      </w:r>
      <w:r>
        <w:rPr>
          <w:sz w:val="21"/>
        </w:rPr>
        <w:t>Forty-Six Thousand Five Hundred and 00/100 Dollars ($46,500.00), all cash, payable in immediately available funds at Closing. No financing contingency.</w:t>
      </w:r>
    </w:p>
    <w:p>
      <w:pPr>
        <w:spacing w:after="100"/>
      </w:pPr>
      <w:r>
        <w:rPr>
          <w:b/>
          <w:sz w:val="21"/>
        </w:rPr>
        <w:t xml:space="preserve">3. EARNEST MONEY.  </w:t>
      </w:r>
      <w:r>
        <w:rPr>
          <w:sz w:val="21"/>
        </w:rPr>
        <w:t>Buyer shall deposit One Thousand Dollars ($1,000.00) with the closing title company/escrow agent within three (3) business days after full execution of this Agreement, applied to the Purchase Price at Closing.</w:t>
      </w:r>
    </w:p>
    <w:p>
      <w:pPr>
        <w:spacing w:after="100"/>
      </w:pPr>
      <w:r>
        <w:rPr>
          <w:b/>
          <w:sz w:val="21"/>
        </w:rPr>
        <w:t xml:space="preserve">4. INSPECTION / DUE-DILIGENCE PERIOD.  </w:t>
      </w:r>
      <w:r>
        <w:rPr>
          <w:sz w:val="21"/>
        </w:rPr>
        <w:t>Buyer shall have ten (10) calendar days from the Effective Date (the “Inspection Period”) to inspect the Property and review all aspects Buyer deems material. Buyer may, in Buyer’s sole and absolute discretion, terminate this Agreement by written notice to Seller at any time during the Inspection Period, whereupon the Earnest Money shall be refunded in full to Buyer and neither party shall have further obligation.</w:t>
      </w:r>
    </w:p>
    <w:p>
      <w:pPr>
        <w:spacing w:after="100"/>
      </w:pPr>
      <w:r>
        <w:rPr>
          <w:b/>
          <w:sz w:val="21"/>
        </w:rPr>
        <w:t xml:space="preserve">5. AS-IS / WAIVER OF REDHIBITION.  </w:t>
      </w:r>
      <w:r>
        <w:rPr>
          <w:sz w:val="21"/>
        </w:rPr>
        <w:t>The Property is sold AS-IS, WHERE-IS, without warranties of any kind, and Buyer waives the warranty against redhibitory defects under Louisiana Civil Code art. 2520 et seq. Seller shall not be required to make any repairs.</w:t>
      </w:r>
    </w:p>
    <w:p>
      <w:pPr>
        <w:spacing w:after="100"/>
      </w:pPr>
      <w:r>
        <w:rPr>
          <w:b/>
          <w:sz w:val="21"/>
        </w:rPr>
        <w:t xml:space="preserve">6. ASSIGNMENT.  </w:t>
      </w:r>
      <w:r>
        <w:rPr>
          <w:sz w:val="21"/>
        </w:rPr>
        <w:t>Buyer may assign this Agreement, in whole or in part, to any third party or entity prior to Closing without Seller’s consent. Upon assignment, the assignee assumes all rights and obligations of Buyer hereunder and the original Buyer is released. [If Seller’s REO addendum restricts assignment, Buyer reserves the right to close via simultaneous (double) closing or to assign Buyer’s membership interest in the purchasing entity.]</w:t>
      </w:r>
    </w:p>
    <w:p>
      <w:pPr>
        <w:spacing w:after="100"/>
      </w:pPr>
      <w:r>
        <w:rPr>
          <w:b/>
          <w:sz w:val="21"/>
        </w:rPr>
        <w:t xml:space="preserve">7. REO / SELLER ADDENDA.  </w:t>
      </w:r>
      <w:r>
        <w:rPr>
          <w:sz w:val="21"/>
        </w:rPr>
        <w:t>Buyer acknowledges this is a bank-owned (REO) transaction and that Seller may require execution of its standard REO addenda. Any conflict between such addenda and this Agreement shall be resolved by mutual written agreement; provided that the Inspection Period (Section 4) and Buyer’s right to a full refund of Earnest Money during that period shall be preserved.</w:t>
      </w:r>
    </w:p>
    <w:p>
      <w:pPr>
        <w:spacing w:after="100"/>
      </w:pPr>
      <w:r>
        <w:rPr>
          <w:b/>
          <w:sz w:val="21"/>
        </w:rPr>
        <w:t xml:space="preserve">8. CLOSING.  </w:t>
      </w:r>
      <w:r>
        <w:rPr>
          <w:sz w:val="21"/>
        </w:rPr>
        <w:t>Closing shall occur on or before twenty-one (21) days after Seller’s written acceptance, or earlier by mutual agreement, at a title company/closing agent of Buyer’s choice. Seller shall convey marketable title free of liens except those of record acceptable to Buyer. Costs to make title merchantable shall be paid by Seller.</w:t>
      </w:r>
    </w:p>
    <w:p>
      <w:pPr>
        <w:spacing w:after="100"/>
      </w:pPr>
      <w:r>
        <w:rPr>
          <w:b/>
          <w:sz w:val="21"/>
        </w:rPr>
        <w:t xml:space="preserve">9. CLOSING COSTS / PRORATIONS.  </w:t>
      </w:r>
      <w:r>
        <w:rPr>
          <w:sz w:val="21"/>
        </w:rPr>
        <w:t>Real estate taxes shall be prorated to Closing. Each party shall pay its customary closing costs per East Baton Rouge Parish, Louisiana practice.</w:t>
      </w:r>
    </w:p>
    <w:p>
      <w:pPr>
        <w:spacing w:after="100"/>
      </w:pPr>
      <w:r>
        <w:rPr>
          <w:b/>
          <w:sz w:val="21"/>
        </w:rPr>
        <w:t xml:space="preserve">10. DEFAULT.  </w:t>
      </w:r>
      <w:r>
        <w:rPr>
          <w:sz w:val="21"/>
        </w:rPr>
        <w:t>If Buyer defaults, Seller’s sole remedy shall be retention of the Earnest Money as liquidated damages. If Seller defaults, Buyer may seek return of the Earnest Money and/or specific performance.</w:t>
      </w:r>
    </w:p>
    <w:p>
      <w:pPr>
        <w:spacing w:after="100"/>
      </w:pPr>
      <w:r>
        <w:rPr>
          <w:b/>
          <w:sz w:val="21"/>
        </w:rPr>
        <w:t xml:space="preserve">11. GOVERNING LAW.  </w:t>
      </w:r>
      <w:r>
        <w:rPr>
          <w:sz w:val="21"/>
        </w:rPr>
        <w:t>This Agreement shall be governed by the laws of the State of Louisiana. Time is of the essence. Facsimile/electronic signatures are valid.</w:t>
      </w:r>
    </w:p>
    <w:p>
      <w:pPr>
        <w:spacing w:after="160" w:before="0"/>
        <w:jc w:val="left"/>
      </w:pPr>
    </w:p>
    <w:p>
      <w:pPr>
        <w:spacing w:after="160"/>
        <w:pBdr>
          <w:bottom w:val="single" w:sz="6" w:space="1" w:color="2E4057"/>
        </w:pBdr>
      </w:pPr>
    </w:p>
    <w:p>
      <w:pPr>
        <w:spacing w:after="280" w:before="0"/>
        <w:jc w:val="left"/>
      </w:pPr>
      <w:r>
        <w:rPr>
          <w:b/>
          <w:sz w:val="21"/>
        </w:rPr>
        <w:t>AGREED AND ACCEPTED:</w:t>
      </w:r>
    </w:p>
    <w:p>
      <w:pPr>
        <w:spacing w:after="40" w:before="0"/>
        <w:jc w:val="left"/>
      </w:pPr>
      <w:r>
        <w:rPr>
          <w:b/>
          <w:sz w:val="21"/>
        </w:rPr>
        <w:t>BUYER:</w:t>
      </w:r>
    </w:p>
    <w:p>
      <w:pPr>
        <w:spacing w:after="0" w:before="0"/>
        <w:jc w:val="left"/>
      </w:pPr>
      <w:r>
        <w:rPr>
          <w:rFonts w:ascii="Blank Script" w:hAnsi="Blank Script"/>
          <w:b w:val="0"/>
          <w:sz w:val="36"/>
        </w:rPr>
        <w:t>Charles E. Pleasant</w:t>
      </w:r>
    </w:p>
    <w:p>
      <w:pPr>
        <w:spacing w:after="40" w:before="0"/>
        <w:jc w:val="left"/>
      </w:pPr>
      <w:r>
        <w:rPr>
          <w:b w:val="0"/>
          <w:sz w:val="21"/>
        </w:rPr>
        <w:t>_________________________________________   Date: __________</w:t>
      </w:r>
    </w:p>
    <w:p>
      <w:pPr>
        <w:spacing w:after="280" w:before="0"/>
        <w:jc w:val="left"/>
      </w:pPr>
      <w:r>
        <w:rPr>
          <w:b w:val="0"/>
          <w:sz w:val="20"/>
        </w:rPr>
        <w:t>Charles E. Pleasant, Managing Member — Paragon Government Solutions LLC, and/or assigns</w:t>
      </w:r>
    </w:p>
    <w:p>
      <w:pPr>
        <w:spacing w:after="40" w:before="0"/>
        <w:jc w:val="left"/>
      </w:pPr>
      <w:r>
        <w:rPr>
          <w:b/>
          <w:sz w:val="21"/>
        </w:rPr>
        <w:t>SELLER:</w:t>
      </w:r>
    </w:p>
    <w:p>
      <w:pPr>
        <w:spacing w:after="40" w:before="0"/>
        <w:jc w:val="left"/>
      </w:pPr>
      <w:r>
        <w:rPr>
          <w:b w:val="0"/>
          <w:sz w:val="21"/>
        </w:rPr>
        <w:t>X________________________________________   Date: __________</w:t>
      </w:r>
    </w:p>
    <w:p>
      <w:pPr>
        <w:spacing w:after="40" w:before="0"/>
        <w:jc w:val="left"/>
      </w:pPr>
      <w:r>
        <w:rPr>
          <w:b w:val="0"/>
          <w:sz w:val="20"/>
        </w:rPr>
        <w:t>Print Name / Title: ______________________________________</w:t>
      </w:r>
    </w:p>
    <w:sectPr w:rsidR="00FC693F" w:rsidRPr="0006063C" w:rsidSect="00034616">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