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jc w:val="center"/>
      </w:pPr>
      <w:r>
        <w:rPr>
          <w:b/>
          <w:sz w:val="28"/>
        </w:rPr>
        <w:t>PARAGON GOVERNMENT SOLUTIONS LLC</w:t>
      </w:r>
    </w:p>
    <w:p>
      <w:pPr>
        <w:spacing w:after="40" w:before="0"/>
        <w:jc w:val="center"/>
      </w:pPr>
      <w:r>
        <w:rPr>
          <w:b w:val="0"/>
          <w:sz w:val="20"/>
        </w:rPr>
        <w:t>11166 Fairfax Blvd, Suite 500  |  Fairfax, VA 22030</w:t>
      </w:r>
    </w:p>
    <w:p>
      <w:pPr>
        <w:spacing w:after="320" w:before="0"/>
        <w:jc w:val="center"/>
      </w:pPr>
      <w:r>
        <w:rPr>
          <w:b w:val="0"/>
          <w:sz w:val="20"/>
        </w:rPr>
        <w:t>Phone: (888) 495-6935  |  Email: charles@paragongovsolutions.net</w:t>
      </w:r>
    </w:p>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6006 Groom Rd, Baker, LA 70714</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Laurie Rush | laurie@kaizenhomesales.com</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$42,500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Louisiana practice</w:t>
      </w:r>
    </w:p>
    <w:p>
      <w:pPr>
        <w:spacing w:after="80"/>
        <w:ind w:left="432"/>
      </w:pPr>
      <w:r>
        <w:rPr>
          <w:b/>
          <w:sz w:val="22"/>
        </w:rPr>
        <w:t xml:space="preserve">Closing Timeline:  </w:t>
      </w:r>
      <w:r>
        <w:rPr>
          <w:b w:val="0"/>
          <w:sz w:val="22"/>
        </w:rPr>
        <w:t>30 days after bank approval and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Buyer understands this is a bank-owned (REO) property and acknowledges that additional time may be required for the selling institution to review and approve this offer.</w:t>
      </w:r>
    </w:p>
    <w:p>
      <w:pPr>
        <w:spacing w:after="120"/>
        <w:ind w:left="432"/>
      </w:pPr>
      <w:r>
        <w:rPr>
          <w:b w:val="0"/>
          <w:sz w:val="22"/>
        </w:rPr>
        <w:t>2.  Buyer is prepared to sign the seller's standard REO Purchase and Sale Agreement and addenda upon acceptance.</w:t>
      </w:r>
    </w:p>
    <w:p>
      <w:pPr>
        <w:spacing w:after="120"/>
        <w:ind w:left="432"/>
      </w:pPr>
      <w:r>
        <w:rPr>
          <w:b w:val="0"/>
          <w:sz w:val="22"/>
        </w:rPr>
        <w:t>3.  This Letter of Intent is non-binding and is subject to the execution of a formal Purchase and Sale Agreement signed by all parties.</w:t>
      </w:r>
    </w:p>
    <w:p>
      <w:pPr>
        <w:spacing w:after="120"/>
        <w:ind w:left="432"/>
      </w:pPr>
      <w:r>
        <w:rPr>
          <w:b w:val="0"/>
          <w:sz w:val="22"/>
        </w:rPr>
        <w:t>4.  This offer is valid for 14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sidRPr="000C33E1">
      <w:rPr>
        <w:b/>
        <w:bCs/>
      </w:rPr>
      <w:t>Paragon Government Solutions LLC</w:t>
    </w:r>
    <w:r w:rsidRPr="000C33E1">
      <w:br/>
    </w:r>
    <w:r w:rsidR="002A12D6">
      <w:t>11166</w:t>
    </w:r>
    <w:r>
      <w:t>, STE 650</w:t>
    </w:r>
    <w:r w:rsidRPr="000C33E1">
      <w:t xml:space="preserve"> | </w:t>
    </w:r>
    <w:r w:rsidR="002A12D6">
      <w:t>Fairfax,</w:t>
    </w:r>
    <w:r w:rsidRPr="000C33E1">
      <w:t xml:space="preserve"> VA 22</w:t>
    </w:r>
    <w:r w:rsidR="002A12D6">
      <w:t>030</w:t>
    </w:r>
    <w:r w:rsidRPr="000C33E1">
      <w:br/>
      <w:t xml:space="preserve">Phone: </w:t>
    </w:r>
    <w:r w:rsidR="002A12D6">
      <w:t>(888) 495.6935</w:t>
    </w:r>
    <w:r w:rsidRPr="000C33E1">
      <w:t xml:space="preserve"> | Email: charles@paragongovsolutions.net</w:t>
    </w:r>
    <w:r w:rsidRPr="000C33E1">
      <w:br/>
      <w:t xml:space="preserve">UEI: FSCZBK8CBV82 | CAGE Code: 9WX69 | </w:t>
    </w:r>
    <w:hyperlink r:id="rId1" w:tgtFrame="_new" w:history="1">
      <w:r w:rsidRPr="000C33E1">
        <w:rPr>
          <w:rStyle w:val="Hyperlink"/>
        </w:rPr>
        <w:t>www.paragongovsolutions.net</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pPr>
    <w:r>
      <w:rPr>
        <w:noProof/>
      </w:rPr>
      <w:drawing>
        <wp:inline distT="0" distB="0" distL="0" distR="0" wp14:anchorId="709CF590" wp14:editId="4D6ECCCE">
          <wp:extent cx="1023257" cy="1023257"/>
          <wp:effectExtent l="0" t="0" r="0" b="0"/>
          <wp:docPr id="1675417903" name="Picture 1" descr="Logo, company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17903" name="Picture 1" descr="Logo, company nam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028715" cy="1028715"/>
                  </a:xfrm>
                  <a:prstGeom prst="rect">
                    <a:avLst/>
                  </a:prstGeom>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