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240" w:after="120"/>
        <w:rPr>
          <w:sz w:val="40"/>
          <w:szCs w:val="40"/>
        </w:rPr>
      </w:pPr>
      <w:r>
        <w:rPr>
          <w:sz w:val="40"/>
          <w:szCs w:val="40"/>
        </w:rPr>
        <w:t>Forward scattering of a plane wave and of a spatially smoothed laser pulse  in the hydrodynamic and kinetic frameworks</w:t>
      </w:r>
    </w:p>
    <w:p>
      <w:pPr>
        <w:pStyle w:val="Corpsdetexte"/>
        <w:rPr/>
      </w:pPr>
      <w:r>
        <w:rPr/>
      </w:r>
    </w:p>
    <w:p>
      <w:pPr>
        <w:pStyle w:val="Corpsdetexte"/>
        <w:jc w:val="both"/>
        <w:rPr/>
      </w:pPr>
      <w:r>
        <w:rPr/>
        <w:t>Cet article traite de la croissance spatiale de la filamentation et du Brillouin avant en mesure d’affecter la propagation d’un faisceau lissé. Les taux de croissance calculés pour une onde plane sont d’abord rappelés pour un plasma modélisé</w:t>
      </w:r>
      <w:r>
        <w:rPr/>
        <w:t xml:space="preserve"> </w:t>
      </w:r>
      <w:r>
        <w:rPr/>
        <w:t xml:space="preserve">par les équations cinétiques et fluides. Ensuite, nous adaptons </w:t>
      </w:r>
      <w:r>
        <w:rPr/>
        <w:t>c</w:t>
      </w:r>
      <w:r>
        <w:rPr/>
        <w:t xml:space="preserve">es calculs pour </w:t>
      </w:r>
      <w:r>
        <w:rPr/>
        <w:t>traiter la propagation</w:t>
      </w:r>
      <w:r>
        <w:rPr/>
        <w:t xml:space="preserve"> d’un faisceau laser lissé spatialement. Nous confirmons ainsi que l’utilisation d’un lame de phase permet de stabilis</w:t>
      </w:r>
      <w:r>
        <w:rPr/>
        <w:t>er</w:t>
      </w:r>
      <w:r>
        <w:rPr/>
        <w:t xml:space="preserve"> la filamentation du laser, mais mettons en évidence des régimes pour lesquels cette instabilité survie (des température</w:t>
      </w:r>
      <w:r>
        <w:rPr/>
        <w:t>s</w:t>
      </w:r>
      <w:r>
        <w:rPr/>
        <w:t xml:space="preserve"> inférieures à ~200 eV ou des plasmas multi-espèce). </w:t>
      </w:r>
      <w:r>
        <w:rPr/>
        <w:t>Nous validons ces conclusions à l’aide d’une comparaison à une expérience de filamentation laser faite au LULI 2000.</w:t>
      </w:r>
    </w:p>
    <w:p>
      <w:pPr>
        <w:pStyle w:val="Corpsdetexte"/>
        <w:jc w:val="both"/>
        <w:rPr/>
      </w:pPr>
      <w:r>
        <w:rPr/>
        <w:t xml:space="preserve">De plus nous montrons que le lissage rend la croissance spatiale du Brillouin avant encore plus instable que dans le cas d’une onde plane, et mettons en </w:t>
      </w:r>
      <w:r>
        <w:rPr/>
        <w:t>évidence</w:t>
      </w:r>
      <w:r>
        <w:rPr/>
        <w:t xml:space="preserve"> que la signature spectrale de cet</w:t>
      </w:r>
      <w:r>
        <w:rPr/>
        <w:t>te</w:t>
      </w:r>
      <w:r>
        <w:rPr/>
        <w:t xml:space="preserve"> instabilité est une succession de piques de croissance le long du mode propre acoustique</w:t>
      </w:r>
      <w:r>
        <w:rPr/>
        <w:t xml:space="preserve"> (voir figure de gauche)</w:t>
      </w:r>
      <w:r>
        <w:rPr/>
        <w:t xml:space="preserve">. </w:t>
      </w:r>
      <w:r>
        <w:rPr/>
        <w:t>La comparaison des prédictions théoriques à des simulations hydrodynamiques HERA confirme nos résultats (voir figure de droite) et démontre que la croissance du Brillouin avant augmente significativement l’angle d’ouverture du laser lors de sa propagation</w:t>
      </w:r>
      <w:bookmarkStart w:id="0" w:name="__DdeLink__1_363362454"/>
      <w:r>
        <w:rPr/>
        <w:t xml:space="preserve"> (voir figure du centre)</w:t>
      </w:r>
      <w:bookmarkEnd w:id="0"/>
      <w:r>
        <w:rPr/>
        <w:t>.</w:t>
      </w:r>
    </w:p>
    <w:p>
      <w:pPr>
        <w:pStyle w:val="Corpsdetexte"/>
        <w:rPr/>
      </w:pPr>
      <w:r>
        <w:rPr/>
      </w:r>
    </w:p>
    <w:p>
      <w:pPr>
        <w:pStyle w:val="Corpsdetexte"/>
        <w:rPr/>
      </w:pPr>
      <w:r>
        <w:rPr/>
        <w:drawing>
          <wp:anchor behindDoc="0" distT="0" distB="0" distL="0" distR="0" simplePos="0" locked="0" layoutInCell="1" allowOverlap="1" relativeHeight="2">
            <wp:simplePos x="0" y="0"/>
            <wp:positionH relativeFrom="column">
              <wp:posOffset>-621665</wp:posOffset>
            </wp:positionH>
            <wp:positionV relativeFrom="paragraph">
              <wp:posOffset>28575</wp:posOffset>
            </wp:positionV>
            <wp:extent cx="2211070" cy="1842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11070" cy="1842770"/>
                    </a:xfrm>
                    <a:prstGeom prst="rect">
                      <a:avLst/>
                    </a:prstGeom>
                  </pic:spPr>
                </pic:pic>
              </a:graphicData>
            </a:graphic>
          </wp:anchor>
        </w:drawing>
        <w:drawing>
          <wp:anchor behindDoc="0" distT="0" distB="0" distL="0" distR="0" simplePos="0" locked="0" layoutInCell="1" allowOverlap="1" relativeHeight="3">
            <wp:simplePos x="0" y="0"/>
            <wp:positionH relativeFrom="column">
              <wp:posOffset>4110355</wp:posOffset>
            </wp:positionH>
            <wp:positionV relativeFrom="paragraph">
              <wp:posOffset>119380</wp:posOffset>
            </wp:positionV>
            <wp:extent cx="2729865" cy="18199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29865" cy="181991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1576070</wp:posOffset>
            </wp:positionH>
            <wp:positionV relativeFrom="paragraph">
              <wp:posOffset>28575</wp:posOffset>
            </wp:positionV>
            <wp:extent cx="2615565" cy="17437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615565" cy="1743710"/>
                    </a:xfrm>
                    <a:prstGeom prst="rect">
                      <a:avLst/>
                    </a:prstGeom>
                  </pic:spPr>
                </pic:pic>
              </a:graphicData>
            </a:graphic>
          </wp:anchor>
        </w:drawing>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spacing w:before="0" w:after="140"/>
        <w:jc w:val="both"/>
        <w:rPr/>
      </w:pPr>
      <w:r>
        <w:rPr/>
        <w:t>Figure : (gauche) Taux de croissance spatiale normalisé au vecteur d’onde du laser pour un faisceau RPP se propageant dans un plasma hydrogène. (centre) Profile d’intensité en W/cm² en échelle logarithmique à t=65 ps prédit par HERA. (droite) Spectre du taux de croissance effectif extrait de la simulation hydrodynamique montrant une succession de piques le long du mode acoustiques w=kc</w:t>
      </w:r>
      <w:r>
        <w:rPr>
          <w:vertAlign w:val="subscript"/>
        </w:rPr>
        <w:t>s</w:t>
      </w:r>
      <w:r>
        <w:rPr/>
        <w:t xml:space="preserve"> (ligne noire). Le plasma correspond à Te=1keV, Ti=300 eV et ne=0,1n</w:t>
      </w:r>
      <w:r>
        <w:rPr>
          <w:vertAlign w:val="subscript"/>
        </w:rPr>
        <w:t>c</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Titre"/>
    <w:next w:val="Corpsdetexte"/>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295</Words>
  <Characters>1632</Characters>
  <CharactersWithSpaces>1923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2020-10-14T10:28:44Z</dcterms:created>
  <dc:creator/>
  <dc:description/>
  <dc:language>fr-FR</dc:language>
  <cp:lastModifiedBy/>
  <dcterms:modified xsi:type="dcterms:W3CDTF">2020-10-14T11:01:59Z</dcterms:modified>
  <cp:revision>1</cp:revision>
  <dc:subject/>
  <dc:title/>
</cp:coreProperties>
</file>