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Durendal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the sinking sun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cloaked in black, 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time is near,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turning back.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‍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steel of legend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Bathed in red, 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mountain pass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heroes bled.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‍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clash of words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shadows fight, 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hide the beard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 snowy white.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‍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azure skies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Reveal their hue, 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hidden truth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Shall come to view.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‍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Voltaire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