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w:t>
      </w:r>
      <w:r>
        <w:t xml:space="preserve"> </w:t>
      </w:r>
      <w:r>
        <w:t xml:space="preserve">“</w:t>
      </w:r>
      <w:hyperlink r:id="rId27">
        <w:r>
          <w:rPr>
            <w:rStyle w:val="Link"/>
          </w:rPr>
          <w:t xml:space="preserve">kbi_interrupt.c</w:t>
        </w:r>
      </w:hyperlink>
      <w:r>
        <w:t xml:space="preserve">”</w:t>
      </w:r>
      <w:r>
        <w:t xml:space="preserve"> </w:t>
      </w:r>
      <w:r>
        <w:t xml:space="preserve">and</w:t>
      </w:r>
      <w:r>
        <w:t xml:space="preserve"> </w:t>
      </w:r>
      <w:r>
        <w:t xml:space="preserve">“</w:t>
      </w:r>
      <w:hyperlink r:id="rId28">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r>
        <w:drawing>
          <wp:inline>
            <wp:extent cx="5440680" cy="5005426"/>
            <wp:effectExtent b="0" l="0" r="0" t="0"/>
            <wp:docPr descr="" id="1" name="Picture"/>
            <a:graphic>
              <a:graphicData uri="http://schemas.openxmlformats.org/drawingml/2006/picture">
                <pic:pic>
                  <pic:nvPicPr>
                    <pic:cNvPr descr="../Pictures/fig1.png" id="0" name="Picture"/>
                    <pic:cNvPicPr>
                      <a:picLocks noChangeArrowheads="1" noChangeAspect="1"/>
                    </pic:cNvPicPr>
                  </pic:nvPicPr>
                  <pic:blipFill>
                    <a:blip r:embed="rId29"/>
                    <a:stretch>
                      <a:fillRect/>
                    </a:stretch>
                  </pic:blipFill>
                  <pic:spPr bwMode="auto">
                    <a:xfrm>
                      <a:off x="0" y="0"/>
                      <a:ext cx="5440680" cy="5005426"/>
                    </a:xfrm>
                    <a:prstGeom prst="rect">
                      <a:avLst/>
                    </a:prstGeom>
                    <a:noFill/>
                    <a:ln w="9525">
                      <a:noFill/>
                      <a:headEnd/>
                      <a:tailEnd/>
                    </a:ln>
                  </pic:spPr>
                </pic:pic>
              </a:graphicData>
            </a:graphic>
          </wp:inline>
        </w:drawing>
      </w:r>
    </w:p>
    <w:p>
      <w:pPr>
        <w:pStyle w:val="ImageCaption"/>
      </w:pPr>
      <w:r>
        <w:t xml:space="preserve">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30" w:name="a.-interrupt-generation-with-the-evaluation-board"/>
      <w:bookmarkEnd w:id="30"/>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1" w:name="b.-experiment-with-the-interrupt-mechanism"/>
      <w:bookmarkEnd w:id="31"/>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2" w:name="ii.-questions"/>
      <w:bookmarkEnd w:id="32"/>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3" w:name="iii.-adjust-the-sample-program-to-display-your-student-numbers"/>
      <w:bookmarkEnd w:id="33"/>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4" w:name="appendix-a"/>
      <w:bookmarkEnd w:id="34"/>
      <w:r>
        <w:t xml:space="preserve">Appendix A</w:t>
      </w:r>
    </w:p>
    <w:p>
      <w:pPr>
        <w:pStyle w:val="Heading3"/>
      </w:pPr>
      <w:bookmarkStart w:id="35" w:name="sample-program-in-c"/>
      <w:bookmarkEnd w:id="35"/>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6" w:name="appendix-b"/>
      <w:bookmarkEnd w:id="36"/>
      <w:r>
        <w:t xml:space="preserve">Appendix B</w:t>
      </w:r>
    </w:p>
    <w:p>
      <w:pPr>
        <w:pStyle w:val="Heading3"/>
      </w:pPr>
      <w:bookmarkStart w:id="37" w:name="sample-program-in-assembly"/>
      <w:bookmarkEnd w:id="37"/>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263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901f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ce3e53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