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r>
        <w:rPr/>
        <w:t>如您所见，# 号开头即为标题，从一级到六级。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r>
        <w:rPr/>
        <w:t>如果我想</w:t>
      </w:r>
      <w:r>
        <w:rPr>
          <w:u w:val="single"/>
        </w:rPr>
      </w:r>
      <w:r>
        <w:rPr/>
        <w:t>，如何？</w:t>
      </w:r>
    </w:p>
    <w:p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r>
        <w:rPr/>
        <w:t>$$</w:t>
        <w:br/>
        <w:t>y=\sin(x)</w:t>
        <w:br/>
        <w:t>$$</w:t>
      </w:r>
    </w:p>
    <w:p>
      <w:pPr>
        <w:pStyle w:val="Heading3"/>
      </w:pPr>
      <w:r>
        <w:t>列表项</w:t>
      </w:r>
    </w:p>
    <w:p>
      <w:r>
        <w:rPr/>
        <w:t>使用数字和减号来实现有序和无序列表：</w:t>
      </w:r>
    </w:p>
    <w:p>
      <w:r>
        <w:rPr/>
        <w:t>无序列表二级</w:t>
      </w:r>
    </w:p>
    <w:p>
      <w:r>
        <w:rPr/>
        <w:t>此外，还有清单列表：</w:t>
      </w:r>
    </w:p>
    <w:p>
      <w:pPr>
        <w:pStyle w:val="Heading3"/>
      </w:pPr>
      <w:r>
        <w:t>引用块</w:t>
      </w:r>
    </w:p>
    <w:p>
      <w:pPr>
        <w:pStyle w:val="BlockQuote"/>
      </w:pPr>
      <w:r>
        <w:rPr/>
        <w:t>请随意编辑这个文件，您总是可以在</w:t>
      </w:r>
      <w:r>
        <w:t>这里</w:t>
      </w:r>
      <w:r>
        <w:rPr/>
        <w:t>找到在线版本。</w:t>
      </w:r>
    </w:p>
    <w:p>
      <w:pPr>
        <w:pStyle w:val="Block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r>
        <w:rPr/>
        <w:t>分割线前的内容</w:t>
      </w:r>
    </w:p>
    <w:p>
      <w:r>
        <w:rPr/>
        <w:t>后面的内容</w:t>
      </w:r>
    </w:p>
    <w:p>
      <w:pPr>
        <w:pStyle w:val="Heading2"/>
      </w:pPr>
      <w:r>
        <w:t>链接和图片</w:t>
      </w:r>
    </w:p>
    <w:p>
      <w:r>
        <w:rPr/>
        <w:t>使用中括号包裹标题，小括号包裹内容：</w:t>
      </w:r>
      <w:r>
        <w:t>Taio 官网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本地图片1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rPr>
      <w:rFonts w:ascii="Times New Roman" w:hAnsi="Times New Roman" w:eastAsia="宋体"/>
      <w:color w:val="000000"/>
    </w:rPr>
  </w:style>
  <w:style w:type="paragraph" w:customStyle="1" w:styleId="Heading2">
    <w:name w:val="Heading2"/>
    <w:basedOn w:val="Heading2"/>
    <w:qFormat/>
    <w:rPr>
      <w:rFonts w:ascii="Times New Roman" w:hAnsi="Times New Roman" w:eastAsia="宋体"/>
      <w:color w:val="000000"/>
    </w:rPr>
  </w:style>
  <w:style w:type="paragraph" w:customStyle="1" w:styleId="Heading3">
    <w:name w:val="Heading3"/>
    <w:basedOn w:val="Heading3"/>
    <w:qFormat/>
    <w:rPr>
      <w:rFonts w:ascii="Times New Roman" w:hAnsi="Times New Roman" w:eastAsia="宋体"/>
      <w:color w:val="000000"/>
    </w:rPr>
  </w:style>
  <w:style w:type="paragraph" w:customStyle="1" w:styleId="Heading4">
    <w:name w:val="Heading4"/>
    <w:basedOn w:val="Heading4"/>
    <w:qFormat/>
    <w:rPr>
      <w:rFonts w:ascii="Times New Roman" w:hAnsi="Times New Roman" w:eastAsia="宋体"/>
      <w:color w:val="000000"/>
    </w:rPr>
  </w:style>
  <w:style w:type="paragraph" w:customStyle="1" w:styleId="BlockQuote">
    <w:name w:val="Block Quote"/>
    <w:rPr>
      <w:rFonts w:ascii="Calibri" w:hAnsi="Calibri" w:eastAsia="黑体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