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spacing w:before="0" w:after="120" w:line="276" w:lineRule="auto"/>
      </w:pPr>
      <w:r>
        <w:rPr>
          <w:rFonts w:eastAsia="Yu Gothic"/>
        </w:rPr>
        <w:t xml:space="preserve">Una palabra puede estar en </w:t>
      </w:r>
      <w:r>
        <w:rPr>
          <w:rFonts w:eastAsia="Yu Gothic"/>
          <w:b/>
        </w:rPr>
        <w:t xml:space="preserve">varias lecciones</w:t>
      </w:r>
      <w:r>
        <w:rPr>
          <w:rFonts w:eastAsia="Yu Gothic"/>
        </w:rPr>
        <w:t xml:space="preserve"> —se aprende con un kanji y luego con otro—. Entonces sale una sola vez, con un cuadrito por lección: </w:t>
      </w:r>
      <w:r>
        <w:rPr>
          <w:rFonts w:eastAsia="Yu Gothic"/>
          <w:b/>
        </w:rPr>
        <w:t xml:space="preserve">pulsa el que quieras y vas a esa</w:t>
      </w:r>
      <w:r>
        <w:rPr>
          <w:rFonts w:eastAsia="Yu Gothic"/>
        </w:rPr>
        <w:t xml:space="preserve">. Con el teclado, Intro te lleva a la primera.</w:t>
      </w:r>
    </w:p>
    <w:p>
      <w:pPr>
        <w:spacing w:before="0" w:after="120" w:line="276" w:lineRule="auto"/>
      </w:pPr>
      <w:r>
        <w:rPr>
          <w:rFonts w:eastAsia="Yu Gothic"/>
        </w:rPr>
        <w:t xml:space="preserve">Los números también se encuentran escribiendo la cifra: buscar </w:t>
      </w:r>
      <w:r>
        <w:rPr>
          <w:rFonts w:eastAsia="Yu Gothic"/>
          <w:b/>
        </w:rPr>
        <w:t xml:space="preserve">6</w:t>
      </w:r>
      <w:r>
        <w:rPr>
          <w:rFonts w:eastAsia="Yu Gothic"/>
        </w:rPr>
        <w:t xml:space="preserve"> encuentra lo mismo que buscar </w:t>
      </w:r>
      <w:r>
        <w:rPr>
          <w:rFonts w:eastAsia="Yu Gothic"/>
          <w:b/>
        </w:rPr>
        <w:t xml:space="preserve">seis</w:t>
      </w:r>
      <w:r>
        <w:rPr>
          <w:rFonts w:eastAsia="Yu Gothic"/>
        </w:rPr>
        <w:t xml:space="preserve">.</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p>
      <w:pPr>
        <w:spacing w:before="0" w:after="120" w:line="276" w:lineRule="auto"/>
      </w:pPr>
      <w:r>
        <w:rPr>
          <w:rFonts w:eastAsia="Yu Gothic"/>
          <w:b/>
        </w:rPr>
        <w:t xml:space="preserve">El archivo ya viene con nombre.</w:t>
      </w:r>
      <w:r>
        <w:rPr>
          <w:rFonts w:eastAsia="Yu Gothic"/>
        </w:rPr>
        <w:t xml:space="preserve"> El que propone el navegador dice qué hoja es y de dónde sale: «Kanji - L7 Días de la semana - Fichas», «Kanji - L7 Días de la semana - Caligrafía», «Silabario - Tabla»… El nombre de la lección es el que tú le hayas puesto en tu libro, así que si guardas varias hojas no se te mezclan en la carpeta.</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Dice de dónde se ha descargado la hoja y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r>
        <w:tc>
          <w:tcPr>
            <w:tcW w:w="3000" w:type="dxa"/>
            <w:vAlign w:val="center"/>
          </w:tcPr>
          <w:p>
            <w:pPr>
              <w:spacing w:before="40" w:after="40" w:line="240" w:lineRule="auto"/>
            </w:pPr>
            <w:r>
              <w:rPr>
                <w:rFonts w:eastAsia="Yu Gothic"/>
              </w:rPr>
              <w:t xml:space="preserve">Nada de esto arregla lo tuyo</w:t>
            </w:r>
          </w:p>
        </w:tc>
        <w:tc>
          <w:tcPr>
            <w:tcW w:w="6026" w:type="dxa"/>
            <w:vAlign w:val="center"/>
          </w:tcPr>
          <w:p>
            <w:pPr>
              <w:spacing w:before="40" w:after="40" w:line="240" w:lineRule="auto"/>
            </w:pPr>
            <w:r>
              <w:rPr>
                <w:rFonts w:eastAsia="Yu Gothic"/>
              </w:rPr>
              <w:t xml:space="preserve">Escríbeme a hola@estudiajapones.com o abre un tema en GitHub Issues.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