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b4fb"/>
          <w:sz w:val="22"/>
          <w:szCs w:val="22"/>
          <w:rtl w:val="0"/>
        </w:rPr>
        <w:t xml:space="preserve">SEALD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9062b"/>
          <w:sz w:val="22"/>
          <w:szCs w:val="22"/>
          <w:rtl w:val="0"/>
        </w:rPr>
        <w:t xml:space="preserve">HEALTHCARE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9062b"/>
          <w:sz w:val="44"/>
          <w:szCs w:val="44"/>
          <w:rtl w:val="0"/>
        </w:rPr>
        <w:t xml:space="preserve">Security = Patient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5a"/>
          <w:sz w:val="22"/>
          <w:szCs w:val="22"/>
          <w:rtl w:val="0"/>
        </w:rPr>
        <w:t xml:space="preserve">When a vendor gets breached, patients pay the price.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9062b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4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453c"/>
                <w:sz w:val="26"/>
                <w:szCs w:val="26"/>
                <w:rtl w:val="0"/>
              </w:rPr>
              <w:t xml:space="preserve">A Patient Is Dead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ffffff"/>
                <w:sz w:val="19"/>
                <w:szCs w:val="19"/>
                <w:rtl w:val="0"/>
              </w:rPr>
              <w:t xml:space="preserve">In June 2024, a ransomware attack hit Synnovis, a third-party blood-testing contractor for the NHS. The breach delayed a blood test result. A patient at King’s College Hospital died. This was not a failure of intent. It was a failure of enforcement.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7b4fb"/>
                <w:sz w:val="19"/>
                <w:szCs w:val="19"/>
                <w:rtl w:val="0"/>
              </w:rPr>
              <w:t xml:space="preserve">It did not happen because </w:t>
            </w:r>
            <w:r w:rsidDel="00000000" w:rsidR="00000000" w:rsidRPr="00000000">
              <w:rPr>
                <w:i w:val="1"/>
                <w:iCs w:val="1"/>
                <w:color w:val="17b4fb"/>
                <w:sz w:val="19"/>
                <w:szCs w:val="19"/>
                <w:rtl w:val="0"/>
              </w:rPr>
              <w:t xml:space="preserve">the hospital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7b4fb"/>
                <w:sz w:val="19"/>
                <w:szCs w:val="19"/>
                <w:rtl w:val="0"/>
              </w:rPr>
              <w:t xml:space="preserve"> was careless. It happened because a vendor was breached, and no one had technological control over what happened next.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00"/>
        <w:gridCol w:w="3400"/>
        <w:gridCol w:w="300"/>
        <w:gridCol w:w="3400"/>
        <w:tblGridChange w:id="0">
          <w:tblGrid>
            <w:gridCol w:w="3400"/>
            <w:gridCol w:w="300"/>
            <w:gridCol w:w="3400"/>
            <w:gridCol w:w="3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3abff" w:space="0" w:sz="4" w:val="single"/>
              <w:left w:color="33abff" w:space="0" w:sz="4" w:val="single"/>
              <w:bottom w:color="33abff" w:space="0" w:sz="4" w:val="single"/>
              <w:right w:color="33abff" w:space="0" w:sz="4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453c"/>
                <w:sz w:val="40"/>
                <w:szCs w:val="40"/>
                <w:rtl w:val="0"/>
              </w:rPr>
              <w:t xml:space="preserve">4%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9062b"/>
                <w:sz w:val="17"/>
                <w:szCs w:val="17"/>
                <w:rtl w:val="0"/>
              </w:rPr>
              <w:t xml:space="preserve">of healthcare leaders are highly confident their vendor risk assessments align with actual 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a4a5a"/>
                <w:sz w:val="14"/>
                <w:szCs w:val="14"/>
                <w:rtl w:val="0"/>
              </w:rPr>
              <w:t xml:space="preserve">Fortified Health Security, 2026 Horizon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abff" w:space="0" w:sz="4" w:val="single"/>
              <w:left w:color="33abff" w:space="0" w:sz="4" w:val="single"/>
              <w:bottom w:color="33abff" w:space="0" w:sz="4" w:val="single"/>
              <w:right w:color="33abff" w:space="0" w:sz="4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9062b"/>
                <w:sz w:val="40"/>
                <w:szCs w:val="40"/>
                <w:rtl w:val="0"/>
              </w:rPr>
              <w:t xml:space="preserve">$10.22M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9062b"/>
                <w:sz w:val="17"/>
                <w:szCs w:val="17"/>
                <w:rtl w:val="0"/>
              </w:rPr>
              <w:t xml:space="preserve">average U.S. data breach cost, the highest of any country globally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a4a5a"/>
                <w:sz w:val="14"/>
                <w:szCs w:val="14"/>
                <w:rtl w:val="0"/>
              </w:rPr>
              <w:t xml:space="preserve">IBM Cost of a Data Breach Report,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abff" w:space="0" w:sz="4" w:val="single"/>
              <w:left w:color="33abff" w:space="0" w:sz="4" w:val="single"/>
              <w:bottom w:color="33abff" w:space="0" w:sz="4" w:val="single"/>
              <w:right w:color="33abff" w:space="0" w:sz="4" w:val="single"/>
            </w:tcBorders>
            <w:shd w:fill="fffff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b4fb"/>
                <w:sz w:val="40"/>
                <w:szCs w:val="40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9062b"/>
                <w:sz w:val="17"/>
                <w:szCs w:val="17"/>
                <w:rtl w:val="0"/>
              </w:rPr>
              <w:t xml:space="preserve">of stolen health records came from third-party vendors, not hospitals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4a4a5a"/>
                <w:sz w:val="14"/>
                <w:szCs w:val="14"/>
                <w:rtl w:val="0"/>
              </w:rPr>
              <w:t xml:space="preserve">American Hospital Association,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200"/>
        <w:gridCol w:w="5400"/>
        <w:tblGridChange w:id="0">
          <w:tblGrid>
            <w:gridCol w:w="5200"/>
            <w:gridCol w:w="2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6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9062b"/>
                <w:sz w:val="22"/>
                <w:szCs w:val="22"/>
                <w:rtl w:val="0"/>
              </w:rPr>
              <w:t xml:space="preserve">The Real Problem Is Not Hackers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8"/>
                <w:szCs w:val="18"/>
                <w:rtl w:val="0"/>
              </w:rPr>
              <w:t xml:space="preserve">Most healthcare organizations have solid perimeter security. But once patient data leaves your walls and moves to labs, billing vendors, business associates, and cloud platforms, your controls stop.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8"/>
                <w:szCs w:val="18"/>
                <w:rtl w:val="0"/>
              </w:rPr>
              <w:t xml:space="preserve">According to the American Hospital Association, over 80% of stolen patient records in recent years were taken from third-party vendors, not hospitals.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9062b"/>
                <w:sz w:val="18"/>
                <w:szCs w:val="18"/>
                <w:rtl w:val="0"/>
              </w:rPr>
              <w:t xml:space="preserve">Your vendor’s breach becomes your breach.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8"/>
                <w:szCs w:val="18"/>
                <w:rtl w:val="0"/>
              </w:rPr>
              <w:t xml:space="preserve">This is not a hypothetical. 68% of healthcare organizations experienced a material cyber incident in the past 24 months. And 71% now list strengthening third-party risk as a top-three priority.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9062b"/>
                <w:sz w:val="18"/>
                <w:szCs w:val="18"/>
                <w:rtl w:val="0"/>
              </w:rPr>
              <w:t xml:space="preserve">What you rely on today: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ind w:left="20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7"/>
                <w:szCs w:val="17"/>
                <w:rtl w:val="0"/>
              </w:rPr>
              <w:t xml:space="preserve">•  Vendor questionnaires and annual audits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40" w:lineRule="auto"/>
              <w:ind w:left="20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7"/>
                <w:szCs w:val="17"/>
                <w:rtl w:val="0"/>
              </w:rPr>
              <w:t xml:space="preserve">•  BAAs and contractual language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20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7"/>
                <w:szCs w:val="17"/>
                <w:rtl w:val="0"/>
              </w:rPr>
              <w:t xml:space="preserve">•  Trust, policies, and hope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8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b4fb"/>
                <w:sz w:val="22"/>
                <w:szCs w:val="22"/>
                <w:rtl w:val="0"/>
              </w:rPr>
              <w:t xml:space="preserve">A Different Kind of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9062b"/>
                <w:sz w:val="18"/>
                <w:szCs w:val="18"/>
                <w:rtl w:val="0"/>
              </w:rPr>
              <w:t xml:space="preserve">Seald Healthcare does not ask you to trust your vendors. We make trust irrelevant.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8"/>
                <w:szCs w:val="18"/>
                <w:rtl w:val="0"/>
              </w:rPr>
              <w:t xml:space="preserve">We encrypt patient data at the record level before it ever leaves your system. Even if a vendor is breached, the data remains unreadable, unusable, and under your control.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b4fb"/>
                <w:sz w:val="18"/>
                <w:szCs w:val="18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9062b"/>
                <w:sz w:val="18"/>
                <w:szCs w:val="18"/>
                <w:rtl w:val="0"/>
              </w:rPr>
              <w:t xml:space="preserve">Least Privilege, Enforced Technologically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00" w:lineRule="auto"/>
              <w:ind w:left="30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7"/>
                <w:szCs w:val="17"/>
                <w:rtl w:val="0"/>
              </w:rPr>
              <w:t xml:space="preserve">Access is granted per record, per user, per purpose. Not by network location.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b4fb"/>
                <w:sz w:val="18"/>
                <w:szCs w:val="18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9062b"/>
                <w:sz w:val="18"/>
                <w:szCs w:val="18"/>
                <w:rtl w:val="0"/>
              </w:rPr>
              <w:t xml:space="preserve">Persistent Control After Sharing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00" w:lineRule="auto"/>
              <w:ind w:left="30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7"/>
                <w:szCs w:val="17"/>
                <w:rtl w:val="0"/>
              </w:rPr>
              <w:t xml:space="preserve">Revoke access to shared data at any time, even after it has been delivered.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b4fb"/>
                <w:sz w:val="18"/>
                <w:szCs w:val="18"/>
                <w:rtl w:val="0"/>
              </w:rPr>
              <w:t xml:space="preserve">✓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9062b"/>
                <w:sz w:val="18"/>
                <w:szCs w:val="18"/>
                <w:rtl w:val="0"/>
              </w:rPr>
              <w:t xml:space="preserve">Third-Party Risk You Can Prove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30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7"/>
                <w:szCs w:val="17"/>
                <w:rtl w:val="0"/>
              </w:rPr>
              <w:t xml:space="preserve">Demonstrate to auditors and regulators exactly who accessed what and when.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200"/>
        <w:gridCol w:w="5400"/>
        <w:tblGridChange w:id="0">
          <w:tblGrid>
            <w:gridCol w:w="5200"/>
            <w:gridCol w:w="20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5f5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453c"/>
                <w:sz w:val="19"/>
                <w:szCs w:val="19"/>
                <w:rtl w:val="0"/>
              </w:rPr>
              <w:t xml:space="preserve">✖  TODAY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7"/>
                <w:szCs w:val="17"/>
                <w:rtl w:val="0"/>
              </w:rPr>
              <w:t xml:space="preserve">Perimeter-only security. Data sits in plaintext. Compliant on paper, vulnerable in practice.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b4fb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3abff" w:space="0" w:sz="4" w:val="single"/>
              <w:left w:color="33abff" w:space="0" w:sz="4" w:val="single"/>
              <w:bottom w:color="33abff" w:space="0" w:sz="4" w:val="single"/>
              <w:right w:color="33abff" w:space="0" w:sz="4" w:val="single"/>
            </w:tcBorders>
            <w:shd w:fill="f0faff" w:val="clear"/>
            <w:tcMar>
              <w:top w:w="140.0" w:type="dxa"/>
              <w:left w:w="200.0" w:type="dxa"/>
              <w:bottom w:w="14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b4fb"/>
                <w:sz w:val="19"/>
                <w:szCs w:val="19"/>
                <w:rtl w:val="0"/>
              </w:rPr>
              <w:t xml:space="preserve">✓  WITH SEALD HEALTHCARE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9062b"/>
                <w:sz w:val="17"/>
                <w:szCs w:val="17"/>
                <w:rtl w:val="0"/>
              </w:rPr>
              <w:t xml:space="preserve">Data encrypted at the source. Zero plaintext exposure. Secure even during a breach.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7b4fb" w:space="0" w:sz="4" w:val="single"/>
              <w:left w:color="17b4fb" w:space="0" w:sz="4" w:val="single"/>
              <w:bottom w:color="17b4fb" w:space="0" w:sz="4" w:val="single"/>
              <w:right w:color="17b4fb" w:space="0" w:sz="4" w:val="single"/>
            </w:tcBorders>
            <w:shd w:fill="f0f8ff" w:val="clear"/>
            <w:tcMar>
              <w:top w:w="160.0" w:type="dxa"/>
              <w:left w:w="300.0" w:type="dxa"/>
              <w:bottom w:w="160.0" w:type="dxa"/>
              <w:right w:w="300.0" w:type="dxa"/>
            </w:tcMar>
          </w:tcPr>
          <w:p w:rsidR="00000000" w:rsidDel="00000000" w:rsidP="00000000" w:rsidRDefault="00000000" w:rsidRPr="00000000" w14:paraId="0000002D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9062b"/>
                <w:sz w:val="24"/>
                <w:szCs w:val="24"/>
                <w:rtl w:val="0"/>
              </w:rPr>
              <w:t xml:space="preserve">See It for Yourself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a4a5a"/>
                <w:sz w:val="18"/>
                <w:szCs w:val="18"/>
                <w:rtl w:val="0"/>
              </w:rPr>
              <w:t xml:space="preserve">Identify your highest-risk vendor relationship and let us show you what technological enforcement looks like.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b4fb"/>
                <w:sz w:val="18"/>
                <w:szCs w:val="18"/>
                <w:rtl w:val="0"/>
              </w:rPr>
              <w:t xml:space="preserve">charlie@sealdhealthcare.com</w:t>
            </w:r>
            <w:r w:rsidDel="00000000" w:rsidR="00000000" w:rsidRPr="00000000">
              <w:rPr>
                <w:rFonts w:ascii="Calibri" w:cs="Calibri" w:eastAsia="Calibri" w:hAnsi="Calibri"/>
                <w:color w:val="4a4a5a"/>
                <w:sz w:val="18"/>
                <w:szCs w:val="18"/>
                <w:rtl w:val="0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b4fb"/>
                <w:sz w:val="18"/>
                <w:szCs w:val="18"/>
                <w:rtl w:val="0"/>
              </w:rPr>
              <w:t xml:space="preserve">615-772-7663</w:t>
            </w:r>
            <w:r w:rsidDel="00000000" w:rsidR="00000000" w:rsidRPr="00000000">
              <w:rPr>
                <w:rFonts w:ascii="Calibri" w:cs="Calibri" w:eastAsia="Calibri" w:hAnsi="Calibri"/>
                <w:color w:val="4a4a5a"/>
                <w:sz w:val="18"/>
                <w:szCs w:val="18"/>
                <w:rtl w:val="0"/>
              </w:rPr>
              <w:t xml:space="preserve">  |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b4fb"/>
                <w:sz w:val="18"/>
                <w:szCs w:val="18"/>
                <w:rtl w:val="0"/>
              </w:rPr>
              <w:t xml:space="preserve">sealdhealthcare.com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5a"/>
          <w:sz w:val="14"/>
          <w:szCs w:val="14"/>
          <w:rtl w:val="0"/>
        </w:rPr>
        <w:t xml:space="preserve">Sources: Fortified Health Security 2026 Horizon Report; IBM Cost of a Data Breach Report 2025; AHA Cybersecurity Year in Review 2025; Black Book Global Healthcare Cybersecurity Survey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a4a5a"/>
          <w:sz w:val="14"/>
          <w:szCs w:val="14"/>
          <w:rtl w:val="0"/>
        </w:rPr>
        <w:t xml:space="preserve">Synnovis story: </w:t>
      </w:r>
      <w:hyperlink r:id="rId7">
        <w:r w:rsidDel="00000000" w:rsidR="00000000" w:rsidRPr="00000000">
          <w:rPr>
            <w:rFonts w:ascii="Calibri" w:cs="Calibri" w:eastAsia="Calibri" w:hAnsi="Calibri"/>
            <w:color w:val="17b4fb"/>
            <w:sz w:val="14"/>
            <w:szCs w:val="14"/>
            <w:u w:val="single"/>
            <w:rtl w:val="0"/>
          </w:rPr>
          <w:t xml:space="preserve">bbc.com/news/articles/cp3ly4v2kp2o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17b4fb" w:space="4" w:sz="4" w:val="single"/>
        </w:pBdr>
        <w:spacing w:before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b4fb"/>
          <w:sz w:val="16"/>
          <w:szCs w:val="16"/>
          <w:rtl w:val="0"/>
        </w:rPr>
        <w:t xml:space="preserve">sealdhealthcare.com</w:t>
      </w:r>
      <w:r w:rsidDel="00000000" w:rsidR="00000000" w:rsidRPr="00000000">
        <w:rPr>
          <w:rFonts w:ascii="Calibri" w:cs="Calibri" w:eastAsia="Calibri" w:hAnsi="Calibri"/>
          <w:color w:val="4a4a5a"/>
          <w:sz w:val="16"/>
          <w:szCs w:val="16"/>
          <w:rtl w:val="0"/>
        </w:rPr>
        <w:t xml:space="preserve">  |  Protecting patient safety with security.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bbc.com/news/articles/cp3ly4v2kp2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eosiqFNKwKshGIh4dqglhCXrQ==">CgMxLjA4AHIhMVkyM0x3VkdtTnV2a2hmcnRFMU50amx4d3ZBdUhHenl1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2026-02-17T10:58:11.735Z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