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sz w:val="44"/>
          <w:szCs w:val="44"/>
          <w:rtl w:val="0"/>
        </w:rPr>
        <w:t xml:space="preserve">EMIPredict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rPr/>
      </w:pPr>
      <w:r w:rsidDel="00000000" w:rsidR="00000000" w:rsidRPr="00000000">
        <w:rPr>
          <w:rFonts w:ascii="Calibri" w:cs="Calibri" w:eastAsia="Calibri" w:hAnsi="Calibri"/>
          <w:color w:val="555555"/>
          <w:sz w:val="24"/>
          <w:szCs w:val="24"/>
          <w:rtl w:val="0"/>
        </w:rPr>
        <w:t xml:space="preserve">Colab Pipeline Documentation — Data Cleaning, Feature Engineering, Model Training &amp;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1. Purpose of This Document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This document records exactly what the Colab notebook does, in what order, and why — including the real data issues found in emi_prediction_dataset.csv and the actual model results obtained. It is meant to be used both as a running log for the project and as reference material for the project report / viva.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2. Dataset Summary</w:t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404,800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27 (25 input features + 2 targets)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Classification target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emi_eligibility (Eligible / High_Risk / Not_Eligible)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Regression target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max_monthly_emi (₹)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emi_prediction_dataset.csv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8b0000"/>
          <w:sz w:val="22"/>
          <w:szCs w:val="22"/>
          <w:rtl w:val="0"/>
        </w:rPr>
        <w:t xml:space="preserve">Note: the project specification document states "22 variables" but actually lists 25 fields, and the actual CSV confirms 25 input columns. This is a documented discrepancy in the spec, not an error in the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3. Data Quality Issues Found and Fixed</w:t>
      </w:r>
    </w:p>
    <w:p w:rsidR="00000000" w:rsidDel="00000000" w:rsidP="00000000" w:rsidRDefault="00000000" w:rsidRPr="00000000" w14:paraId="00000015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3.1 Corrupted numeric strings</w:t>
      </w:r>
    </w:p>
    <w:p w:rsidR="00000000" w:rsidDel="00000000" w:rsidP="00000000" w:rsidRDefault="00000000" w:rsidRPr="00000000" w14:paraId="00000016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columns age, monthly_salary, and bank_balance were loaded as text (str) instead of numeric, because a subset of values had a malformed decimal suffix, e.g. "64300.0.0" instead of "64300".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500"/>
        <w:gridCol w:w="3500"/>
        <w:tblGridChange w:id="0">
          <w:tblGrid>
            <w:gridCol w:w="3000"/>
            <w:gridCol w:w="2500"/>
            <w:gridCol w:w="350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Rows affected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Fix 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Regex-stripped repeated ".0" suffix, cast to numeric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monthly_salary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1,993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Same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bank_balance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1,966 (14 unparseable → became null)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Same fix; unparseable values imputed with median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3.2 Inconsistent categorical values</w:t>
      </w:r>
    </w:p>
    <w:p w:rsidR="00000000" w:rsidDel="00000000" w:rsidP="00000000" w:rsidRDefault="00000000" w:rsidRPr="00000000" w14:paraId="00000025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gender column had 8 inconsistent variants: Female, Male, female, male, M, MALE, F, FEMALE. These were normalized to two clean values: Male, Female.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3.3 Missing values</w:t>
      </w:r>
    </w:p>
    <w:p w:rsidR="00000000" w:rsidDel="00000000" w:rsidP="00000000" w:rsidRDefault="00000000" w:rsidRPr="00000000" w14:paraId="00000027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Five columns had missing values, all around 0.6% of rows: education, monthly_rent, credit_score, bank_balance, emergency_fund. Numeric columns were imputed with the column median; the one categorical column (education) was imputed with the mode.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3.4 Class imbalance (important — affects model choice)</w:t>
      </w:r>
    </w:p>
    <w:p w:rsidR="00000000" w:rsidDel="00000000" w:rsidP="00000000" w:rsidRDefault="00000000" w:rsidRPr="00000000" w14:paraId="00000029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emi_eligibility is heavily imbalanced: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Share of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Not_Eligible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77.3%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Eligible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18.4%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High_Risk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4.3%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This means a model that always predicts "Not_Eligible" scores 77.3% accuracy while being useless. Accuracy alone is not a valid evaluation metric for this project — per-class precision/recall/F1 and a confusion matrix are required, and class_weight='balanced' (or sample weighting for XGBoost) was used during training to counter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4. Leakage Check (performed before full modeling)</w:t>
      </w:r>
    </w:p>
    <w:p w:rsidR="00000000" w:rsidDel="00000000" w:rsidP="00000000" w:rsidRDefault="00000000" w:rsidRPr="00000000" w14:paraId="00000035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Before committing to the full pipeline, single-feature and few-feature models were tested to rule out the target being trivially derivable from one input (which would make the "AI" component meaningless).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000"/>
        <w:tblGridChange w:id="0">
          <w:tblGrid>
            <w:gridCol w:w="40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credit_score alone → emi_eligibility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77.3% accuracy — identical to the majority-class baseline, i.e. no real signal from this feature alone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monthly_salary alone → max_monthly_emi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R² = 0.33 — weak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 obvious features → max_monthly_emi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R² = 0.57 — still far from perfect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Conclusion: neither target is leaking from a single feature. Real, multivariate modeling is required — the project's ML component is legitimate.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5. Feature Engineering</w:t>
      </w:r>
    </w:p>
    <w:p w:rsidR="00000000" w:rsidDel="00000000" w:rsidP="00000000" w:rsidRDefault="00000000" w:rsidRPr="00000000" w14:paraId="00000041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Eight derived financial-ratio features were added on top of the 25 raw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total_monthly_expenses — sum of rent, school fees, college fees, travel, groceries/utilities, other expenses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debt_to_income — (current EMI + total expenses) / monthly salary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emi_burden_ratio — current EMI / monthly salary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expense_ratio — total expenses / monthly salary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savings_ratio — emergency fund / monthly salary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loan_to_income — requested amount / annual salary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financial_buffer — monthly salary − current EMI − total expenses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dependents_per_income — dependents relative to salary (per ₹10,000)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Extreme outliers exist in these ratios (e.g. debt-to-income up to 31×, financial buffer as low as −₹1.6 lakh). These were left unclipped because tree-based models (Random Forest, XGBoost) are not sensitive to outlier scale, and clipping would hide a genuine finding: some applicants are in extreme debt distress, which is meaningful for a risk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6. Models Trained</w:t>
      </w:r>
    </w:p>
    <w:p w:rsidR="00000000" w:rsidDel="00000000" w:rsidP="00000000" w:rsidRDefault="00000000" w:rsidRPr="00000000" w14:paraId="0000004D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Per the project specification, 3 classification and 3 regression models were trained (SVM/SVR excluded — see Section 9 for reasoning).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000"/>
        <w:tblGridChange w:id="0">
          <w:tblGrid>
            <w:gridCol w:w="40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Classification (emi_eligibility)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Logistic Regression, Random Forest, XGBoost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Regression (max_monthly_emi)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Linear Regression, Random Forest, XGBoost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7. Results — Final Run (full dataset, 404,800 rows)</w:t>
      </w:r>
    </w:p>
    <w:p w:rsidR="00000000" w:rsidDel="00000000" w:rsidP="00000000" w:rsidRDefault="00000000" w:rsidRPr="00000000" w14:paraId="00000055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These are the confirmed results from running the complete pipeline on the full dataset in Google Colab. An earlier validation run on a 60,000-row subsample produced closely matching numbers, which confirmed the pipeline was stable before committing to the full 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7.1 Classification results</w:t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600"/>
        <w:gridCol w:w="1600"/>
        <w:gridCol w:w="1600"/>
        <w:gridCol w:w="1600"/>
        <w:tblGridChange w:id="0">
          <w:tblGrid>
            <w:gridCol w:w="2600"/>
            <w:gridCol w:w="1600"/>
            <w:gridCol w:w="1600"/>
            <w:gridCol w:w="1600"/>
            <w:gridCol w:w="160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Macro 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ROC-AUC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High_Risk Recall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Logistic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0.7897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0.6385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0.9256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Random Forest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0.9439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0.6512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0.9785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0.03 (fails minority class)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XGBoost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0.9626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0.8756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0.9943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0.89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Key finding: Random Forest has the second-highest raw accuracy (94.4%) but a High_Risk recall of only 3% — it correctly identifies just 3 out of every 100 genuinely High_Risk applicants despite class_weight='balanced'. This is a serious failure for a risk-assessment system, and it is invisible if you only look at overall accuracy. XGBoost has the highest accuracy (96.3%) AND correctly identifies 89% of High_Risk applicants (Macro F1 = 0.876). This is the central justification for recommending XGBoost as the deployed model — it is not just the highest number, it is the only model that does the one job that actually matters.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7.2 Regression results</w:t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2200"/>
        <w:gridCol w:w="2000"/>
        <w:tblGridChange w:id="0">
          <w:tblGrid>
            <w:gridCol w:w="2600"/>
            <w:gridCol w:w="2200"/>
            <w:gridCol w:w="2200"/>
            <w:gridCol w:w="200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RMSE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MAE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Linear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4,110.18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2,945.86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0.7138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Random Forest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889.02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279.27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0.9866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XGBoost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658.34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250.49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0.9927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XGBoost meets the project's target of RMSE &lt; ₹2,000 comfortably, beating it by a factor of 3. Linear Regression performs poorly by comparison (R² = 0.71), confirming the salary-to-EMI relationship is genuinely non-linear — this is a legitimate modeling finding, not an error in the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sz w:val="22"/>
          <w:szCs w:val="22"/>
          <w:rtl w:val="0"/>
        </w:rPr>
        <w:t xml:space="preserve">Final recommended models for deployment: XGBoost for both classification and regression.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8. Target Range Discrepancy</w:t>
      </w:r>
    </w:p>
    <w:p w:rsidR="00000000" w:rsidDel="00000000" w:rsidP="00000000" w:rsidRDefault="00000000" w:rsidRPr="00000000" w14:paraId="00000083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project spec states max_monthly_emi should range roughly ₹500–₹50,000. The actual dataset's maximum value is ₹91,040 — about 80% above the documented upper bound. This should be noted in the final report rather than silently clipped.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9. Design Decisions and Justification</w:t>
      </w:r>
    </w:p>
    <w:p w:rsidR="00000000" w:rsidDel="00000000" w:rsidP="00000000" w:rsidRDefault="00000000" w:rsidRPr="00000000" w14:paraId="00000085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9.1 Why 3+3 models instead of adding SVM/SVR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spec requires a minimum of 3 classification + 3 regression models — that minimum was kept deliberately.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SVM/SVR use kernel computation that scales roughly O(n²)–O(n³); on 404,800 rows this is computationally impractical without heavy subsampling, which would undermine result validity.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 Forest and XGBoost are both tree ensembles and already provide a meaningful bagging-vs-boosting comparison; adding SVM would not add much analytical insight for the added cost.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9.2 Why per-class metrics matter here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77.3% of data in one class, accuracy alone can be misleadingly high while completely failing the minority (High_Risk) class — demonstrated directly in Section 7.1.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class_weight='balanced' was applied to Logistic Regression and Random Forest; XGBoost used sample_weight via compute_sample_weight('balanced', ...) since XGBClassifier does not natively support class_weight.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10. Pipeline Steps (Colab Cell Reference)</w:t>
      </w:r>
    </w:p>
    <w:tbl>
      <w:tblPr>
        <w:tblStyle w:val="Table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800"/>
        <w:tblGridChange w:id="0">
          <w:tblGrid>
            <w:gridCol w:w="120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Install xgboost, mlflow; upload 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Load data; fix corrupted numeric strings; normalize gender; impute missing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Engineer 8 financial-ratio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Label-encode categoricals; assemble feature matrix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Train &amp; evaluate 3 classification models (with class balancing)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Train &amp; evaluate 3 regression 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Save best models (XGBoost for both tasks) as .pkl files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11. Next Steps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MLflow experiment logging (Cell 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the Streamlit app: eligibility prediction page, max-EMI prediction page, model comparison page, EDA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SHAP explainability for the final XGBoost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capstone project uniqueness with mentor (open item, not part of this pipeline).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