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30th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start by focusing on my literature review. I have been focusing on the literature review for blind source separation. I want most of it done by the end of the day. After I’ve done this, I may move onto my current work in progress section, then leave the esn/conclusions/abstract till later. 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After reading another paper, I am left wondering about the suitability of my matrix based solutions in NSGA-II. Maybe something to look at.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I also want to try and test/fix my skewness function!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I recorded 4 jam tracks, each of at least a few minutes, and only rendered the solo guitar. I am going to run these through my script and see what I get out to see if it matches what I hope/expect.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It turned out to be not what I expected. Only 1 of the 4 graphs showed the dip I was looking for, and even then it was not as present as in the previous graphs. Therefore to be sure, I will have to re-record the samples where I found the dip, in order to see whether it was just chance that this happened.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However, somewhat obviously but still useful, is the fact that the distorted guitars are generally going to have a wider distribution because of the high noise levels. This probably can’t be used too easily though due to the maximum width just being the whole thing.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I am aiming to finish as much of the BSS literature review today.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I have nearly finished the genetic algorithm part of the literature review, just the limitations/criticisms/link to my work bit left. Then I just need to do the main ICA bits.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